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6BB574E8"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B258AD">
        <w:rPr>
          <w:rFonts w:ascii="Arial" w:hAnsi="Arial" w:cs="Arial"/>
          <w:b/>
          <w:bCs/>
          <w:sz w:val="22"/>
        </w:rPr>
        <w:t>3</w:t>
      </w:r>
      <w:r w:rsidR="00846A4E">
        <w:rPr>
          <w:rFonts w:ascii="Arial" w:hAnsi="Arial" w:cs="Arial"/>
          <w:b/>
          <w:bCs/>
          <w:sz w:val="22"/>
        </w:rPr>
        <w:t>-e</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802F02" w:rsidRPr="00802F02">
        <w:rPr>
          <w:rFonts w:ascii="Arial" w:eastAsia="MS Mincho" w:hAnsi="Arial" w:cs="Arial"/>
          <w:b/>
          <w:bCs/>
          <w:sz w:val="22"/>
        </w:rPr>
        <w:t>R1-</w:t>
      </w:r>
      <w:r w:rsidR="001A569D">
        <w:rPr>
          <w:rFonts w:ascii="Arial" w:eastAsia="MS Mincho" w:hAnsi="Arial" w:cs="Arial"/>
          <w:b/>
          <w:bCs/>
          <w:sz w:val="22"/>
        </w:rPr>
        <w:t>200766</w:t>
      </w:r>
      <w:r w:rsidR="00C9184F">
        <w:rPr>
          <w:rFonts w:ascii="Arial" w:eastAsia="MS Mincho" w:hAnsi="Arial" w:cs="Arial"/>
          <w:b/>
          <w:bCs/>
          <w:sz w:val="22"/>
        </w:rPr>
        <w:t>2</w:t>
      </w:r>
    </w:p>
    <w:bookmarkEnd w:id="0"/>
    <w:bookmarkEnd w:id="1"/>
    <w:p w14:paraId="68FB6FDA" w14:textId="77777777" w:rsidR="001A569D" w:rsidRPr="00CB76E1" w:rsidRDefault="001A569D" w:rsidP="001A569D">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 xml:space="preserve">e-Meeting, </w:t>
      </w:r>
      <w:r>
        <w:rPr>
          <w:rFonts w:ascii="Arial" w:eastAsia="MS Mincho" w:hAnsi="Arial" w:cs="Arial"/>
          <w:b/>
          <w:bCs/>
          <w:sz w:val="22"/>
          <w:lang w:eastAsia="ja-JP"/>
        </w:rPr>
        <w:t>October</w:t>
      </w:r>
      <w:r w:rsidRPr="00490C6C">
        <w:rPr>
          <w:rFonts w:ascii="Arial" w:eastAsia="MS Mincho" w:hAnsi="Arial" w:cs="Arial"/>
          <w:b/>
          <w:bCs/>
          <w:sz w:val="22"/>
          <w:lang w:eastAsia="ja-JP"/>
        </w:rPr>
        <w:t xml:space="preserve"> </w:t>
      </w:r>
      <w:r>
        <w:rPr>
          <w:rFonts w:ascii="Arial" w:eastAsia="MS Mincho" w:hAnsi="Arial" w:cs="Arial"/>
          <w:b/>
          <w:bCs/>
          <w:sz w:val="22"/>
          <w:lang w:eastAsia="ja-JP"/>
        </w:rPr>
        <w:t>26</w:t>
      </w:r>
      <w:r w:rsidRPr="00490C6C">
        <w:rPr>
          <w:rFonts w:ascii="Arial" w:eastAsia="MS Mincho" w:hAnsi="Arial" w:cs="Arial"/>
          <w:b/>
          <w:bCs/>
          <w:sz w:val="22"/>
          <w:vertAlign w:val="superscript"/>
          <w:lang w:eastAsia="ja-JP"/>
        </w:rPr>
        <w:t>th</w:t>
      </w:r>
      <w:r w:rsidRPr="00490C6C">
        <w:rPr>
          <w:rFonts w:ascii="Arial" w:eastAsia="MS Mincho" w:hAnsi="Arial" w:cs="Arial"/>
          <w:b/>
          <w:bCs/>
          <w:sz w:val="22"/>
          <w:lang w:eastAsia="ja-JP"/>
        </w:rPr>
        <w:t xml:space="preserve">– </w:t>
      </w:r>
      <w:r>
        <w:rPr>
          <w:rFonts w:ascii="Arial" w:eastAsia="MS Mincho" w:hAnsi="Arial" w:cs="Arial"/>
          <w:b/>
          <w:bCs/>
          <w:sz w:val="22"/>
          <w:lang w:eastAsia="ja-JP"/>
        </w:rPr>
        <w:t>November 13</w:t>
      </w:r>
      <w:r w:rsidRPr="00490C6C">
        <w:rPr>
          <w:rFonts w:ascii="Arial" w:eastAsia="MS Mincho" w:hAnsi="Arial" w:cs="Arial"/>
          <w:b/>
          <w:bCs/>
          <w:sz w:val="22"/>
          <w:vertAlign w:val="superscript"/>
          <w:lang w:eastAsia="ja-JP"/>
        </w:rPr>
        <w:t>th</w:t>
      </w:r>
      <w:r w:rsidRPr="00CB76E1">
        <w:rPr>
          <w:rFonts w:ascii="Arial" w:eastAsia="MS Mincho" w:hAnsi="Arial" w:cs="Arial"/>
          <w:b/>
          <w:bCs/>
          <w:sz w:val="22"/>
          <w:lang w:eastAsia="ja-JP"/>
        </w:rPr>
        <w:t>, 2020</w:t>
      </w:r>
    </w:p>
    <w:p w14:paraId="52188AFD" w14:textId="77777777" w:rsidR="00CA2D83" w:rsidRPr="001A569D"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343F538B"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C9184F" w:rsidRPr="00C163BC">
        <w:rPr>
          <w:rFonts w:cs="Arial"/>
          <w:sz w:val="22"/>
          <w:szCs w:val="22"/>
        </w:rPr>
        <w:t>Discussion on HARQ enhancements for NR-NTN</w:t>
      </w:r>
    </w:p>
    <w:p w14:paraId="6FF900EB" w14:textId="70594362"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w:t>
      </w:r>
      <w:r w:rsidR="00C9184F">
        <w:rPr>
          <w:rFonts w:cs="Arial"/>
          <w:sz w:val="22"/>
        </w:rPr>
        <w:t>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6135DFEE" w:rsidR="00B864F3" w:rsidRDefault="00C9184F" w:rsidP="004978EE">
      <w:pPr>
        <w:spacing w:before="120"/>
        <w:rPr>
          <w:rFonts w:eastAsia="宋体"/>
          <w:lang w:val="en-GB" w:eastAsia="zh-CN"/>
        </w:rPr>
      </w:pPr>
      <w:r w:rsidRPr="00B97ED8">
        <w:rPr>
          <w:rFonts w:eastAsiaTheme="minorEastAsia"/>
          <w:lang w:eastAsia="zh-CN"/>
        </w:rPr>
        <w:t>In RAN</w:t>
      </w:r>
      <w:r>
        <w:rPr>
          <w:rFonts w:eastAsiaTheme="minorEastAsia"/>
          <w:lang w:eastAsia="zh-CN"/>
        </w:rPr>
        <w:t>1</w:t>
      </w:r>
      <w:r w:rsidRPr="00B97ED8">
        <w:rPr>
          <w:rFonts w:eastAsiaTheme="minorEastAsia"/>
          <w:lang w:eastAsia="zh-CN"/>
        </w:rPr>
        <w:t>#</w:t>
      </w:r>
      <w:r>
        <w:rPr>
          <w:rFonts w:eastAsiaTheme="minorEastAsia"/>
          <w:lang w:eastAsia="zh-CN"/>
        </w:rPr>
        <w:t>102</w:t>
      </w:r>
      <w:r w:rsidRPr="00B97ED8">
        <w:rPr>
          <w:rFonts w:eastAsiaTheme="minorEastAsia"/>
          <w:lang w:eastAsia="zh-CN"/>
        </w:rPr>
        <w:t xml:space="preserve"> </w:t>
      </w:r>
      <w:r>
        <w:rPr>
          <w:rFonts w:eastAsiaTheme="minorEastAsia"/>
          <w:lang w:eastAsia="zh-CN"/>
        </w:rPr>
        <w:t>e-</w:t>
      </w:r>
      <w:r w:rsidRPr="00B97ED8">
        <w:rPr>
          <w:rFonts w:eastAsiaTheme="minorEastAsia"/>
          <w:lang w:eastAsia="zh-CN"/>
        </w:rPr>
        <w:t xml:space="preserve">meeting, </w:t>
      </w:r>
      <w:r>
        <w:rPr>
          <w:rFonts w:eastAsiaTheme="minorEastAsia"/>
          <w:lang w:eastAsia="zh-CN"/>
        </w:rPr>
        <w:t xml:space="preserve">the </w:t>
      </w:r>
      <w:r>
        <w:t>following agreements on HARQ enhancement were made [1]:</w:t>
      </w:r>
    </w:p>
    <w:tbl>
      <w:tblPr>
        <w:tblStyle w:val="ac"/>
        <w:tblW w:w="0" w:type="auto"/>
        <w:tblLook w:val="04A0" w:firstRow="1" w:lastRow="0" w:firstColumn="1" w:lastColumn="0" w:noHBand="0" w:noVBand="1"/>
      </w:tblPr>
      <w:tblGrid>
        <w:gridCol w:w="9351"/>
      </w:tblGrid>
      <w:tr w:rsidR="00A81ACF" w:rsidRPr="001659C3" w14:paraId="66CA905A" w14:textId="77777777" w:rsidTr="00B20F7C">
        <w:trPr>
          <w:trHeight w:val="3198"/>
        </w:trPr>
        <w:tc>
          <w:tcPr>
            <w:tcW w:w="9351" w:type="dxa"/>
          </w:tcPr>
          <w:p w14:paraId="17EB86C0" w14:textId="77777777" w:rsidR="00C9184F" w:rsidRDefault="00C9184F" w:rsidP="00C9184F">
            <w:pPr>
              <w:spacing w:before="120"/>
              <w:rPr>
                <w:lang w:eastAsia="x-none"/>
              </w:rPr>
            </w:pPr>
            <w:bookmarkStart w:id="5" w:name="_Hlk50369357"/>
            <w:r>
              <w:rPr>
                <w:highlight w:val="green"/>
                <w:lang w:eastAsia="x-none"/>
              </w:rPr>
              <w:t>Agreement:</w:t>
            </w:r>
          </w:p>
          <w:p w14:paraId="419D444C" w14:textId="77777777" w:rsidR="00C9184F" w:rsidRDefault="00C9184F" w:rsidP="00C9184F">
            <w:pPr>
              <w:spacing w:before="120"/>
              <w:rPr>
                <w:lang w:eastAsia="x-none"/>
              </w:rPr>
            </w:pPr>
            <w:r>
              <w:rPr>
                <w:lang w:eastAsia="x-none"/>
              </w:rPr>
              <w:t>Enabling/disabling on HARQ feedback for downlink transmission should be at least configurable per HARQ process via UE specific RRC signaling</w:t>
            </w:r>
          </w:p>
          <w:p w14:paraId="4951FB90" w14:textId="77777777" w:rsidR="00C9184F" w:rsidRDefault="00C9184F" w:rsidP="00C9184F">
            <w:pPr>
              <w:spacing w:before="120"/>
              <w:rPr>
                <w:lang w:eastAsia="x-none"/>
              </w:rPr>
            </w:pPr>
          </w:p>
          <w:p w14:paraId="692CA8FD" w14:textId="77777777" w:rsidR="00C9184F" w:rsidRDefault="00C9184F" w:rsidP="00C9184F">
            <w:pPr>
              <w:spacing w:before="120"/>
              <w:rPr>
                <w:lang w:eastAsia="x-none"/>
              </w:rPr>
            </w:pPr>
            <w:r>
              <w:rPr>
                <w:highlight w:val="green"/>
                <w:lang w:eastAsia="x-none"/>
              </w:rPr>
              <w:t>Agreement:</w:t>
            </w:r>
          </w:p>
          <w:p w14:paraId="715BDE67" w14:textId="77777777" w:rsidR="00C9184F" w:rsidRDefault="00C9184F" w:rsidP="00C9184F">
            <w:pPr>
              <w:spacing w:before="120"/>
              <w:rPr>
                <w:lang w:eastAsia="x-none"/>
              </w:rPr>
            </w:pPr>
            <w:r>
              <w:rPr>
                <w:lang w:eastAsia="x-none"/>
              </w:rPr>
              <w:t>The extension of maximal HARQ process number can be considered with following assumptions:</w:t>
            </w:r>
          </w:p>
          <w:p w14:paraId="6C701638" w14:textId="77777777" w:rsidR="00C9184F" w:rsidRDefault="00C9184F" w:rsidP="00C9184F">
            <w:pPr>
              <w:numPr>
                <w:ilvl w:val="0"/>
                <w:numId w:val="17"/>
              </w:numPr>
              <w:spacing w:beforeLines="0" w:before="120" w:after="0"/>
              <w:jc w:val="left"/>
              <w:rPr>
                <w:lang w:eastAsia="x-none"/>
              </w:rPr>
            </w:pPr>
            <w:r>
              <w:rPr>
                <w:lang w:eastAsia="x-none"/>
              </w:rPr>
              <w:t>The maximal supported HARQ process number is up to 32.</w:t>
            </w:r>
          </w:p>
          <w:p w14:paraId="2311457A" w14:textId="77777777" w:rsidR="00C9184F" w:rsidRDefault="00C9184F" w:rsidP="00C9184F">
            <w:pPr>
              <w:numPr>
                <w:ilvl w:val="0"/>
                <w:numId w:val="17"/>
              </w:numPr>
              <w:spacing w:beforeLines="0" w:before="120" w:after="0"/>
              <w:jc w:val="left"/>
              <w:rPr>
                <w:lang w:eastAsia="x-none"/>
              </w:rPr>
            </w:pPr>
            <w:r>
              <w:rPr>
                <w:lang w:eastAsia="x-none"/>
              </w:rPr>
              <w:t>FFS: Support on the maximal HARQ process number is up to UE capability</w:t>
            </w:r>
          </w:p>
          <w:p w14:paraId="35FA84EF" w14:textId="21F04A78" w:rsidR="00A81ACF" w:rsidRPr="00C9184F" w:rsidRDefault="00C9184F" w:rsidP="0033017D">
            <w:pPr>
              <w:numPr>
                <w:ilvl w:val="0"/>
                <w:numId w:val="17"/>
              </w:numPr>
              <w:spacing w:beforeLines="0" w:before="120" w:after="0"/>
              <w:jc w:val="left"/>
            </w:pPr>
            <w:r>
              <w:rPr>
                <w:lang w:eastAsia="x-none"/>
              </w:rPr>
              <w:t>Minimizing the impacts on specification and scheduling</w:t>
            </w:r>
            <w:bookmarkEnd w:id="5"/>
          </w:p>
        </w:tc>
      </w:tr>
    </w:tbl>
    <w:p w14:paraId="6E480227" w14:textId="479DA219" w:rsidR="00C9089C" w:rsidRPr="003A1740" w:rsidRDefault="00E60349" w:rsidP="00C9089C">
      <w:pPr>
        <w:spacing w:before="120"/>
        <w:rPr>
          <w:rFonts w:eastAsia="等线"/>
          <w:lang w:eastAsia="zh-CN"/>
        </w:rPr>
      </w:pPr>
      <w:r w:rsidRPr="006277B1">
        <w:t xml:space="preserve">In this contribution, we provide some considerations on HARQ enhancement </w:t>
      </w:r>
      <w:r>
        <w:t xml:space="preserve">for HARQ number and disabling/enabling HARQ feedback </w:t>
      </w:r>
      <w:r w:rsidRPr="006277B1">
        <w:t xml:space="preserve">in </w:t>
      </w:r>
      <w:r>
        <w:t>NR-</w:t>
      </w:r>
      <w:r w:rsidRPr="006277B1">
        <w:t>NTN.</w:t>
      </w:r>
    </w:p>
    <w:p w14:paraId="0838EE44" w14:textId="77777777" w:rsidR="0038306B" w:rsidRPr="0038306B" w:rsidRDefault="0038306B" w:rsidP="003830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38306B">
        <w:rPr>
          <w:rFonts w:ascii="Arial" w:eastAsia="宋体" w:hAnsi="Arial" w:cs="Times New Roman"/>
          <w:b w:val="0"/>
          <w:bCs w:val="0"/>
          <w:kern w:val="0"/>
          <w:sz w:val="36"/>
          <w:szCs w:val="20"/>
          <w:lang w:eastAsia="zh-CN"/>
        </w:rPr>
        <w:t>Discussion</w:t>
      </w:r>
    </w:p>
    <w:p w14:paraId="3DB686F0" w14:textId="73B7B88A" w:rsidR="0038306B" w:rsidRDefault="0038306B" w:rsidP="0038306B">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38306B">
        <w:rPr>
          <w:rFonts w:ascii="Arial" w:eastAsia="宋体" w:hAnsi="Arial"/>
          <w:bCs/>
          <w:sz w:val="32"/>
          <w:szCs w:val="20"/>
          <w:lang w:val="en-GB" w:eastAsia="zh-CN"/>
        </w:rPr>
        <w:t>Enhancement for HARQ process number</w:t>
      </w:r>
    </w:p>
    <w:p w14:paraId="501DD36D" w14:textId="77777777" w:rsidR="00C139BC" w:rsidRPr="00C139BC" w:rsidRDefault="00C139BC" w:rsidP="00C139BC">
      <w:pPr>
        <w:spacing w:before="120"/>
        <w:rPr>
          <w:rFonts w:eastAsia="宋体"/>
          <w:lang w:val="en-GB" w:eastAsia="zh-CN"/>
        </w:rPr>
      </w:pPr>
      <w:r w:rsidRPr="00C139BC">
        <w:rPr>
          <w:rFonts w:eastAsia="宋体"/>
          <w:lang w:val="en-GB" w:eastAsia="zh-CN"/>
        </w:rPr>
        <w:t>In RAN1 #102e, the maximal supported HARQ process number is extended to up to 32 to solve the HARQ performance reduction resulted by the larger propagation delay. For UEs supporting NTN, the maximal 32 HARQ process number would be supported.</w:t>
      </w:r>
    </w:p>
    <w:p w14:paraId="2344CEDF" w14:textId="77777777" w:rsidR="00C139BC" w:rsidRPr="00C139BC" w:rsidRDefault="00C139BC" w:rsidP="00C139BC">
      <w:pPr>
        <w:spacing w:before="120"/>
        <w:rPr>
          <w:rFonts w:eastAsia="宋体"/>
          <w:lang w:val="en-GB" w:eastAsia="zh-CN"/>
        </w:rPr>
      </w:pPr>
      <w:r w:rsidRPr="00C139BC">
        <w:rPr>
          <w:rFonts w:eastAsia="宋体"/>
          <w:lang w:val="en-GB" w:eastAsia="zh-CN"/>
        </w:rPr>
        <w:t>With the extension maximal number of HARQ processes, to ensure the compatibility with the existing NR protocols, it is agreed to minimize the impacts on the specification and scheduling. There are two possible solutions to configure the HARQ process number larger than 16, one is using implicit signalling, and another is re-interpreting the existing DCI fields.</w:t>
      </w:r>
    </w:p>
    <w:p w14:paraId="21C1056C" w14:textId="641FEF24" w:rsidR="00C139BC" w:rsidRDefault="00C139BC" w:rsidP="00C139BC">
      <w:pPr>
        <w:spacing w:before="120"/>
        <w:rPr>
          <w:rFonts w:eastAsia="宋体"/>
          <w:lang w:val="en-GB" w:eastAsia="zh-CN"/>
        </w:rPr>
      </w:pPr>
      <w:r w:rsidRPr="00C139BC">
        <w:rPr>
          <w:rFonts w:eastAsia="宋体"/>
          <w:lang w:val="en-GB" w:eastAsia="zh-CN"/>
        </w:rPr>
        <w:t>For the implicit signalling, the HARQ process number can be associated with the SFN/slot number. One simple solution is that the slot index carrying the corresponding transmission can be used to indicate the MSB or LSB of the HARQ process number, for example:</w:t>
      </w:r>
    </w:p>
    <w:p w14:paraId="382617B0" w14:textId="2775F6F8" w:rsidR="00C139BC" w:rsidRPr="00C139BC" w:rsidRDefault="00C139BC" w:rsidP="00C139BC">
      <w:pPr>
        <w:pStyle w:val="Eqn"/>
        <w:spacing w:before="120"/>
        <w:jc w:val="center"/>
        <w:rPr>
          <w:lang w:eastAsia="zh-CN"/>
        </w:rPr>
      </w:pPr>
      <m:oMath>
        <m:r>
          <w:rPr>
            <w:rFonts w:ascii="Cambria Math" w:hAnsi="Cambria Math"/>
          </w:rPr>
          <m:t>MSB=mod(slotindexinFrame,2)</m:t>
        </m:r>
      </m:oMath>
      <w:r>
        <w:rPr>
          <w:rFonts w:hint="eastAsia"/>
          <w:lang w:eastAsia="zh-CN"/>
        </w:rPr>
        <w:t xml:space="preserve"> </w:t>
      </w:r>
      <w:r>
        <w:rPr>
          <w:lang w:eastAsia="zh-CN"/>
        </w:rPr>
        <w:t xml:space="preserve">or </w:t>
      </w:r>
      <m:oMath>
        <m:r>
          <w:rPr>
            <w:rFonts w:ascii="Cambria Math" w:hAnsi="Cambria Math"/>
          </w:rPr>
          <m:t>LSB=mod(slotindexinFrame,2)</m:t>
        </m:r>
      </m:oMath>
    </w:p>
    <w:p w14:paraId="7F41474E" w14:textId="78758737" w:rsidR="00C139BC" w:rsidRPr="00C139BC" w:rsidRDefault="00C139BC" w:rsidP="00C139BC">
      <w:pPr>
        <w:spacing w:before="120"/>
        <w:rPr>
          <w:rFonts w:eastAsia="宋体"/>
          <w:lang w:val="en-GB" w:eastAsia="zh-CN"/>
        </w:rPr>
      </w:pPr>
      <w:r w:rsidRPr="00C139BC">
        <w:rPr>
          <w:rFonts w:eastAsia="宋体"/>
          <w:lang w:val="en-GB" w:eastAsia="zh-CN"/>
        </w:rPr>
        <w:t xml:space="preserve">However, there are some restrictions on the scheduling flexibility using the slot-based HARQ number indication, resulting in performance </w:t>
      </w:r>
      <w:r w:rsidR="00A90E53" w:rsidRPr="00C139BC">
        <w:rPr>
          <w:rFonts w:eastAsia="宋体"/>
          <w:lang w:val="en-GB" w:eastAsia="zh-CN"/>
        </w:rPr>
        <w:t>reduction</w:t>
      </w:r>
      <w:r w:rsidRPr="00C139BC">
        <w:rPr>
          <w:rFonts w:eastAsia="宋体"/>
          <w:lang w:val="en-GB" w:eastAsia="zh-CN"/>
        </w:rPr>
        <w:t xml:space="preserve">. </w:t>
      </w:r>
    </w:p>
    <w:p w14:paraId="065977DF" w14:textId="4061D220" w:rsidR="00C139BC" w:rsidRPr="00C139BC" w:rsidRDefault="00C139BC" w:rsidP="00C139BC">
      <w:pPr>
        <w:spacing w:before="120"/>
        <w:rPr>
          <w:rFonts w:eastAsia="宋体"/>
          <w:lang w:val="en-GB" w:eastAsia="zh-CN"/>
        </w:rPr>
      </w:pPr>
      <w:r w:rsidRPr="00C139BC">
        <w:rPr>
          <w:rFonts w:eastAsia="宋体"/>
          <w:lang w:val="en-GB" w:eastAsia="zh-CN"/>
        </w:rPr>
        <w:t xml:space="preserve">For the re-interpreting existing DCI fields, one possible solution is that the field for transport block 2 indication can be re-interpreted to indicate the extension of HARQ process number. Since in NTN, considering the almost LOS transmission environment, maybe only </w:t>
      </w:r>
      <w:r w:rsidR="009D6B3E">
        <w:rPr>
          <w:rFonts w:eastAsia="宋体"/>
          <w:lang w:val="en-GB" w:eastAsia="zh-CN"/>
        </w:rPr>
        <w:t>single</w:t>
      </w:r>
      <w:r w:rsidRPr="00C139BC">
        <w:rPr>
          <w:rFonts w:eastAsia="宋体"/>
          <w:lang w:val="en-GB" w:eastAsia="zh-CN"/>
        </w:rPr>
        <w:t xml:space="preserve"> </w:t>
      </w:r>
      <w:r w:rsidR="009D6B3E">
        <w:rPr>
          <w:rFonts w:eastAsia="宋体"/>
          <w:lang w:val="en-GB" w:eastAsia="zh-CN"/>
        </w:rPr>
        <w:t>layer</w:t>
      </w:r>
      <w:r w:rsidRPr="00C139BC">
        <w:rPr>
          <w:rFonts w:eastAsia="宋体"/>
          <w:lang w:val="en-GB" w:eastAsia="zh-CN"/>
        </w:rPr>
        <w:t xml:space="preserve"> transmission be applied. For example, if the reserved MCS is indicated</w:t>
      </w:r>
      <w:r w:rsidR="003765A3">
        <w:rPr>
          <w:rFonts w:eastAsia="宋体"/>
          <w:lang w:val="en-GB" w:eastAsia="zh-CN"/>
        </w:rPr>
        <w:t xml:space="preserve"> for the </w:t>
      </w:r>
      <w:r w:rsidR="003765A3" w:rsidRPr="00C139BC">
        <w:rPr>
          <w:rFonts w:eastAsia="宋体"/>
          <w:lang w:val="en-GB" w:eastAsia="zh-CN"/>
        </w:rPr>
        <w:t>transport block 2</w:t>
      </w:r>
      <w:r w:rsidRPr="00C139BC">
        <w:rPr>
          <w:rFonts w:eastAsia="宋体"/>
          <w:lang w:val="en-GB" w:eastAsia="zh-CN"/>
        </w:rPr>
        <w:t xml:space="preserve">, the RV or NDI can be used to indicate the MSB of the HARQ process number, and there is no impact on the scheduling flexibility and DCI detection performance. </w:t>
      </w:r>
    </w:p>
    <w:p w14:paraId="6A2F8296" w14:textId="3158554B" w:rsidR="0038306B" w:rsidRPr="00C139BC" w:rsidRDefault="00C139BC" w:rsidP="00C139BC">
      <w:pPr>
        <w:spacing w:before="120"/>
        <w:rPr>
          <w:rFonts w:eastAsia="宋体"/>
          <w:b/>
          <w:i/>
          <w:lang w:val="en-GB" w:eastAsia="zh-CN"/>
        </w:rPr>
      </w:pPr>
      <w:r w:rsidRPr="00C139BC">
        <w:rPr>
          <w:rFonts w:eastAsia="宋体"/>
          <w:b/>
          <w:i/>
          <w:lang w:val="en-GB" w:eastAsia="zh-CN"/>
        </w:rPr>
        <w:lastRenderedPageBreak/>
        <w:t>Proposal 1: Support re-interpreting existing DCI field to indicate the extension of HARQ process number for NTN.</w:t>
      </w:r>
    </w:p>
    <w:p w14:paraId="362F7643" w14:textId="6E31420C" w:rsidR="00D2324A" w:rsidRDefault="00D2324A" w:rsidP="00D2324A">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D2324A">
        <w:rPr>
          <w:rFonts w:ascii="Arial" w:eastAsia="宋体" w:hAnsi="Arial"/>
          <w:bCs/>
          <w:sz w:val="32"/>
          <w:szCs w:val="20"/>
          <w:lang w:val="en-GB" w:eastAsia="zh-CN"/>
        </w:rPr>
        <w:t xml:space="preserve">Transmission enhancement for </w:t>
      </w:r>
      <w:r w:rsidR="00A12DBA" w:rsidRPr="00D2324A">
        <w:rPr>
          <w:rFonts w:ascii="Arial" w:eastAsia="宋体" w:hAnsi="Arial"/>
          <w:bCs/>
          <w:sz w:val="32"/>
          <w:szCs w:val="20"/>
          <w:lang w:val="en-GB" w:eastAsia="zh-CN"/>
        </w:rPr>
        <w:t>disabling</w:t>
      </w:r>
      <w:r w:rsidR="00A12DBA" w:rsidRPr="00D2324A">
        <w:rPr>
          <w:rFonts w:ascii="Arial" w:eastAsia="宋体" w:hAnsi="Arial"/>
          <w:bCs/>
          <w:sz w:val="32"/>
          <w:szCs w:val="20"/>
          <w:lang w:val="en-GB" w:eastAsia="zh-CN"/>
        </w:rPr>
        <w:t xml:space="preserve"> </w:t>
      </w:r>
      <w:r w:rsidRPr="00D2324A">
        <w:rPr>
          <w:rFonts w:ascii="Arial" w:eastAsia="宋体" w:hAnsi="Arial"/>
          <w:bCs/>
          <w:sz w:val="32"/>
          <w:szCs w:val="20"/>
          <w:lang w:val="en-GB" w:eastAsia="zh-CN"/>
        </w:rPr>
        <w:t xml:space="preserve">HARQ </w:t>
      </w:r>
    </w:p>
    <w:p w14:paraId="0E2209F7" w14:textId="77777777" w:rsidR="004F7A4E" w:rsidRDefault="004F7A4E" w:rsidP="004F7A4E">
      <w:pPr>
        <w:pStyle w:val="a0"/>
        <w:spacing w:before="120"/>
        <w:rPr>
          <w:noProof/>
          <w:szCs w:val="20"/>
          <w:lang w:eastAsia="zh-CN"/>
        </w:rPr>
      </w:pPr>
      <w:r>
        <w:rPr>
          <w:rFonts w:eastAsiaTheme="minorEastAsia"/>
          <w:lang w:val="en-GB" w:eastAsia="zh-CN"/>
        </w:rPr>
        <w:t xml:space="preserve">In NTN, due to the large propagation latency and supported HARQ process number, the disabled HARQ is introduced. </w:t>
      </w:r>
      <w:r>
        <w:rPr>
          <w:rFonts w:eastAsia="宋体"/>
          <w:lang w:eastAsia="zh-CN"/>
        </w:rPr>
        <w:t>The NTN network does not need to wait for UE’s HARQ-ACK feedback before it can schedule the disabled HARQ processes again to decrease the packet deliver</w:t>
      </w:r>
      <w:r>
        <w:rPr>
          <w:rFonts w:eastAsia="宋体" w:hint="eastAsia"/>
          <w:lang w:eastAsia="zh-CN"/>
        </w:rPr>
        <w:t>ing</w:t>
      </w:r>
      <w:r>
        <w:rPr>
          <w:rFonts w:eastAsia="宋体"/>
          <w:lang w:eastAsia="zh-CN"/>
        </w:rPr>
        <w:t xml:space="preserve"> latency.</w:t>
      </w:r>
      <w:r>
        <w:rPr>
          <w:rFonts w:eastAsiaTheme="minorEastAsia"/>
          <w:lang w:val="en-GB" w:eastAsia="zh-CN"/>
        </w:rPr>
        <w:t xml:space="preserve"> </w:t>
      </w:r>
      <w:r w:rsidRPr="007C1E2B">
        <w:rPr>
          <w:rFonts w:eastAsiaTheme="minorEastAsia"/>
          <w:lang w:val="en-GB" w:eastAsia="zh-CN"/>
        </w:rPr>
        <w:t>For the disabl</w:t>
      </w:r>
      <w:r>
        <w:rPr>
          <w:rFonts w:eastAsiaTheme="minorEastAsia"/>
          <w:lang w:val="en-GB" w:eastAsia="zh-CN"/>
        </w:rPr>
        <w:t>ed</w:t>
      </w:r>
      <w:r w:rsidRPr="007C1E2B">
        <w:rPr>
          <w:rFonts w:eastAsiaTheme="minorEastAsia"/>
          <w:lang w:val="en-GB" w:eastAsia="zh-CN"/>
        </w:rPr>
        <w:t xml:space="preserve"> HARQ</w:t>
      </w:r>
      <w:r>
        <w:rPr>
          <w:rFonts w:eastAsiaTheme="minorEastAsia"/>
          <w:lang w:val="en-GB" w:eastAsia="zh-CN"/>
        </w:rPr>
        <w:t xml:space="preserve"> process, some enhancement schemes can be studied to improve the reliability and the latency. In [2],</w:t>
      </w:r>
      <w:r w:rsidRPr="007E778B">
        <w:rPr>
          <w:noProof/>
          <w:szCs w:val="20"/>
          <w:lang w:eastAsia="zh-CN"/>
        </w:rPr>
        <w:t xml:space="preserve"> </w:t>
      </w:r>
      <w:r>
        <w:rPr>
          <w:noProof/>
          <w:szCs w:val="20"/>
          <w:lang w:eastAsia="zh-CN"/>
        </w:rPr>
        <w:t xml:space="preserve">some </w:t>
      </w:r>
      <w:r w:rsidRPr="003B538C">
        <w:rPr>
          <w:noProof/>
          <w:szCs w:val="20"/>
          <w:lang w:eastAsia="zh-CN"/>
        </w:rPr>
        <w:t>solutions were summarized</w:t>
      </w:r>
      <w:r>
        <w:rPr>
          <w:noProof/>
          <w:szCs w:val="20"/>
          <w:lang w:eastAsia="zh-CN"/>
        </w:rPr>
        <w:t xml:space="preserve"> and discussed. </w:t>
      </w:r>
    </w:p>
    <w:p w14:paraId="4AE508F2" w14:textId="1D84D7BB" w:rsidR="004F7A4E" w:rsidRDefault="004F7A4E" w:rsidP="004F7A4E">
      <w:pPr>
        <w:pStyle w:val="a0"/>
        <w:spacing w:before="120"/>
        <w:rPr>
          <w:rFonts w:eastAsiaTheme="minorEastAsia"/>
          <w:lang w:val="en-GB" w:eastAsia="zh-CN"/>
        </w:rPr>
      </w:pPr>
      <w:r>
        <w:rPr>
          <w:rFonts w:eastAsiaTheme="minorEastAsia"/>
          <w:lang w:eastAsia="zh-CN"/>
        </w:rPr>
        <w:t>Applying</w:t>
      </w:r>
      <w:r w:rsidRPr="00FF6279">
        <w:rPr>
          <w:rFonts w:eastAsiaTheme="minorEastAsia"/>
          <w:lang w:val="en-GB" w:eastAsia="zh-CN"/>
        </w:rPr>
        <w:t xml:space="preserve"> the lower target BLER </w:t>
      </w:r>
      <w:r w:rsidRPr="00FF6279">
        <w:rPr>
          <w:rFonts w:eastAsiaTheme="minorEastAsia" w:hint="eastAsia"/>
          <w:lang w:val="en-GB" w:eastAsia="zh-CN"/>
        </w:rPr>
        <w:t>MCS</w:t>
      </w:r>
      <w:r w:rsidRPr="00FF6279">
        <w:rPr>
          <w:rFonts w:eastAsiaTheme="minorEastAsia"/>
          <w:lang w:val="en-GB" w:eastAsia="zh-CN"/>
        </w:rPr>
        <w:t xml:space="preserve"> table</w:t>
      </w:r>
      <w:r>
        <w:rPr>
          <w:rFonts w:eastAsiaTheme="minorEastAsia"/>
          <w:lang w:val="en-GB" w:eastAsia="zh-CN"/>
        </w:rPr>
        <w:t xml:space="preserve"> is</w:t>
      </w:r>
      <w:r w:rsidRPr="00FF6279">
        <w:rPr>
          <w:rFonts w:eastAsiaTheme="minorEastAsia"/>
          <w:lang w:val="en-GB" w:eastAsia="zh-CN"/>
        </w:rPr>
        <w:t xml:space="preserve"> a </w:t>
      </w:r>
      <w:r w:rsidRPr="00E6492A">
        <w:rPr>
          <w:rFonts w:eastAsiaTheme="minorEastAsia"/>
          <w:lang w:val="en-GB" w:eastAsia="zh-CN"/>
        </w:rPr>
        <w:t xml:space="preserve">straightforward </w:t>
      </w:r>
      <w:r w:rsidRPr="00FF6279">
        <w:rPr>
          <w:rFonts w:eastAsiaTheme="minorEastAsia"/>
          <w:lang w:val="en-GB" w:eastAsia="zh-CN"/>
        </w:rPr>
        <w:t xml:space="preserve">way to improve the transmission reliability. </w:t>
      </w:r>
      <w:r>
        <w:rPr>
          <w:rFonts w:eastAsiaTheme="minorEastAsia"/>
          <w:lang w:val="en-GB" w:eastAsia="zh-CN"/>
        </w:rPr>
        <w:t xml:space="preserve">Considering the large </w:t>
      </w:r>
      <w:r>
        <w:rPr>
          <w:lang w:eastAsia="zh-CN"/>
        </w:rPr>
        <w:t>propagation delay, for some use case of NTN, such as d</w:t>
      </w:r>
      <w:r w:rsidRPr="001B1C37">
        <w:rPr>
          <w:lang w:eastAsia="zh-CN"/>
        </w:rPr>
        <w:t>isaster emergency</w:t>
      </w:r>
      <w:r>
        <w:rPr>
          <w:lang w:eastAsia="zh-CN"/>
        </w:rPr>
        <w:t xml:space="preserve"> service, one-shot transmission maybe an efficiency scheme considering the timeliness of the message. </w:t>
      </w:r>
      <w:r w:rsidRPr="00FF6279">
        <w:rPr>
          <w:rFonts w:eastAsiaTheme="minorEastAsia"/>
          <w:lang w:val="en-GB" w:eastAsia="zh-CN"/>
        </w:rPr>
        <w:t>It is noted that in Rel-15</w:t>
      </w:r>
      <w:r>
        <w:rPr>
          <w:rFonts w:eastAsiaTheme="minorEastAsia"/>
          <w:lang w:val="en-GB" w:eastAsia="zh-CN"/>
        </w:rPr>
        <w:t>/16</w:t>
      </w:r>
      <w:r w:rsidRPr="00FF6279">
        <w:rPr>
          <w:rFonts w:eastAsiaTheme="minorEastAsia"/>
          <w:lang w:val="en-GB" w:eastAsia="zh-CN"/>
        </w:rPr>
        <w:t xml:space="preserve"> URLLC feature, the lower target BLER is allowed.</w:t>
      </w:r>
      <w:r>
        <w:rPr>
          <w:rFonts w:eastAsiaTheme="minorEastAsia"/>
          <w:lang w:val="en-GB" w:eastAsia="zh-CN"/>
        </w:rPr>
        <w:t xml:space="preserve"> Considering the URLLC performance requirement, the MCS table for URLLC was designed with the 10e-5 target BLER. However, the URLLC reliability requirement maybe too high for the NTN with some use cases. M</w:t>
      </w:r>
      <w:r w:rsidRPr="00C51512">
        <w:rPr>
          <w:rFonts w:eastAsiaTheme="minorEastAsia"/>
          <w:lang w:val="en-GB" w:eastAsia="zh-CN"/>
        </w:rPr>
        <w:t>oreover</w:t>
      </w:r>
      <w:r>
        <w:rPr>
          <w:rFonts w:eastAsiaTheme="minorEastAsia"/>
          <w:lang w:val="en-GB" w:eastAsia="zh-CN"/>
        </w:rPr>
        <w:t xml:space="preserve">, the 10e-5 target BLER may </w:t>
      </w:r>
      <w:r w:rsidRPr="009E00C1">
        <w:rPr>
          <w:rFonts w:eastAsiaTheme="minorEastAsia"/>
          <w:lang w:val="en-GB" w:eastAsia="zh-CN"/>
        </w:rPr>
        <w:t>cause</w:t>
      </w:r>
      <w:r>
        <w:rPr>
          <w:rFonts w:eastAsiaTheme="minorEastAsia"/>
          <w:lang w:val="en-GB" w:eastAsia="zh-CN"/>
        </w:rPr>
        <w:t xml:space="preserve"> </w:t>
      </w:r>
      <w:r w:rsidRPr="00247536">
        <w:rPr>
          <w:rFonts w:eastAsiaTheme="minorEastAsia"/>
          <w:lang w:val="en-GB" w:eastAsia="zh-CN"/>
        </w:rPr>
        <w:t xml:space="preserve">poor </w:t>
      </w:r>
      <w:r>
        <w:rPr>
          <w:rFonts w:eastAsiaTheme="minorEastAsia"/>
          <w:lang w:val="en-GB" w:eastAsia="zh-CN"/>
        </w:rPr>
        <w:t xml:space="preserve">scheduling </w:t>
      </w:r>
      <w:r w:rsidRPr="00247536">
        <w:rPr>
          <w:rFonts w:eastAsiaTheme="minorEastAsia"/>
          <w:lang w:val="en-GB" w:eastAsia="zh-CN"/>
        </w:rPr>
        <w:t xml:space="preserve">efficiency </w:t>
      </w:r>
      <w:r>
        <w:rPr>
          <w:rFonts w:eastAsiaTheme="minorEastAsia"/>
          <w:lang w:val="en-GB" w:eastAsia="zh-CN"/>
        </w:rPr>
        <w:t>and u</w:t>
      </w:r>
      <w:r w:rsidRPr="00815572">
        <w:rPr>
          <w:rFonts w:eastAsiaTheme="minorEastAsia"/>
          <w:lang w:val="en-GB" w:eastAsia="zh-CN"/>
        </w:rPr>
        <w:t xml:space="preserve">nacceptable </w:t>
      </w:r>
      <w:r>
        <w:rPr>
          <w:rFonts w:eastAsiaTheme="minorEastAsia"/>
          <w:lang w:val="en-GB" w:eastAsia="zh-CN"/>
        </w:rPr>
        <w:t xml:space="preserve">latency for some large size traffic packet of NTN. For the use cases, such as </w:t>
      </w:r>
      <w:r>
        <w:rPr>
          <w:lang w:eastAsia="zh-CN"/>
        </w:rPr>
        <w:t>d</w:t>
      </w:r>
      <w:r w:rsidRPr="001B1C37">
        <w:rPr>
          <w:lang w:eastAsia="zh-CN"/>
        </w:rPr>
        <w:t>isaster emergency</w:t>
      </w:r>
      <w:r>
        <w:rPr>
          <w:lang w:eastAsia="zh-CN"/>
        </w:rPr>
        <w:t xml:space="preserve"> service</w:t>
      </w:r>
      <w:r>
        <w:rPr>
          <w:rFonts w:eastAsiaTheme="minorEastAsia"/>
          <w:lang w:val="en-GB" w:eastAsia="zh-CN"/>
        </w:rPr>
        <w:t xml:space="preserve"> and </w:t>
      </w:r>
      <w:proofErr w:type="spellStart"/>
      <w:r>
        <w:rPr>
          <w:rFonts w:eastAsiaTheme="minorEastAsia"/>
          <w:lang w:val="en-GB" w:eastAsia="zh-CN"/>
        </w:rPr>
        <w:t>eMBB</w:t>
      </w:r>
      <w:proofErr w:type="spellEnd"/>
      <w:r>
        <w:rPr>
          <w:rFonts w:eastAsiaTheme="minorEastAsia"/>
          <w:lang w:val="en-GB" w:eastAsia="zh-CN"/>
        </w:rPr>
        <w:t xml:space="preserve"> service, the transmission schemes and target BLER </w:t>
      </w:r>
      <w:r w:rsidR="00ED3CBB">
        <w:rPr>
          <w:rFonts w:eastAsiaTheme="minorEastAsia"/>
          <w:lang w:val="en-GB" w:eastAsia="zh-CN"/>
        </w:rPr>
        <w:t>can be</w:t>
      </w:r>
      <w:r>
        <w:rPr>
          <w:rFonts w:eastAsiaTheme="minorEastAsia"/>
          <w:lang w:val="en-GB" w:eastAsia="zh-CN"/>
        </w:rPr>
        <w:t xml:space="preserve"> different due to the requirement of reliability, so different MCS tables for NTN should be applied for different use cases. </w:t>
      </w:r>
    </w:p>
    <w:p w14:paraId="4F94F8F1" w14:textId="77777777" w:rsidR="004F7A4E" w:rsidRPr="005925E3" w:rsidRDefault="004F7A4E" w:rsidP="005925E3">
      <w:pPr>
        <w:spacing w:before="120"/>
        <w:rPr>
          <w:rFonts w:eastAsia="宋体"/>
          <w:b/>
          <w:i/>
          <w:lang w:val="en-GB" w:eastAsia="zh-CN"/>
        </w:rPr>
      </w:pPr>
      <w:r w:rsidRPr="005925E3">
        <w:rPr>
          <w:rFonts w:eastAsia="宋体" w:hint="eastAsia"/>
          <w:b/>
          <w:i/>
          <w:lang w:val="en-GB" w:eastAsia="zh-CN"/>
        </w:rPr>
        <w:t>Observation</w:t>
      </w:r>
      <w:r w:rsidRPr="005925E3">
        <w:rPr>
          <w:rFonts w:eastAsia="宋体"/>
          <w:b/>
          <w:i/>
          <w:lang w:val="en-GB" w:eastAsia="zh-CN"/>
        </w:rPr>
        <w:t xml:space="preserve"> 1: Considering different target BLER MCS tables for different use cases is benefit to NTN.</w:t>
      </w:r>
    </w:p>
    <w:p w14:paraId="211F04E7" w14:textId="26CDB12A" w:rsidR="004F7A4E" w:rsidRPr="00701C4E" w:rsidRDefault="004F7A4E" w:rsidP="004F7A4E">
      <w:pPr>
        <w:pStyle w:val="a0"/>
        <w:spacing w:before="120"/>
        <w:rPr>
          <w:rFonts w:eastAsiaTheme="minorEastAsia"/>
          <w:lang w:eastAsia="zh-CN"/>
        </w:rPr>
      </w:pPr>
      <w:r w:rsidRPr="00FF6279">
        <w:rPr>
          <w:rFonts w:eastAsiaTheme="minorEastAsia"/>
          <w:lang w:val="en-GB" w:eastAsia="zh-CN"/>
        </w:rPr>
        <w:t xml:space="preserve">For slot </w:t>
      </w:r>
      <w:bookmarkStart w:id="6" w:name="_Hlk53589314"/>
      <w:r w:rsidRPr="00FF6279">
        <w:rPr>
          <w:rFonts w:eastAsiaTheme="minorEastAsia"/>
          <w:lang w:val="en-GB" w:eastAsia="zh-CN"/>
        </w:rPr>
        <w:t>aggregation</w:t>
      </w:r>
      <w:bookmarkEnd w:id="6"/>
      <w:r w:rsidRPr="00FF6279">
        <w:rPr>
          <w:rFonts w:eastAsiaTheme="minorEastAsia"/>
          <w:lang w:val="en-GB" w:eastAsia="zh-CN"/>
        </w:rPr>
        <w:t>, it</w:t>
      </w:r>
      <w:r>
        <w:rPr>
          <w:rFonts w:eastAsiaTheme="minorEastAsia"/>
          <w:lang w:val="en-GB" w:eastAsia="zh-CN"/>
        </w:rPr>
        <w:t xml:space="preserve">’s </w:t>
      </w:r>
      <w:r w:rsidRPr="00FF6279">
        <w:rPr>
          <w:rFonts w:eastAsiaTheme="minorEastAsia"/>
          <w:lang w:val="en-GB" w:eastAsia="zh-CN"/>
        </w:rPr>
        <w:t xml:space="preserve">also a Rel-15 feature, </w:t>
      </w:r>
      <w:r>
        <w:rPr>
          <w:rFonts w:eastAsiaTheme="minorEastAsia"/>
          <w:lang w:val="en-GB" w:eastAsia="zh-CN"/>
        </w:rPr>
        <w:t>so</w:t>
      </w:r>
      <w:r w:rsidRPr="00FF6279">
        <w:rPr>
          <w:rFonts w:eastAsiaTheme="minorEastAsia"/>
          <w:lang w:val="en-GB" w:eastAsia="zh-CN"/>
        </w:rPr>
        <w:t xml:space="preserve"> it is natur</w:t>
      </w:r>
      <w:r>
        <w:rPr>
          <w:rFonts w:eastAsiaTheme="minorEastAsia"/>
          <w:lang w:val="en-GB" w:eastAsia="zh-CN"/>
        </w:rPr>
        <w:t>al</w:t>
      </w:r>
      <w:r w:rsidRPr="00FF6279">
        <w:rPr>
          <w:rFonts w:eastAsiaTheme="minorEastAsia"/>
          <w:lang w:val="en-GB" w:eastAsia="zh-CN"/>
        </w:rPr>
        <w:t xml:space="preserve"> to </w:t>
      </w:r>
      <w:r>
        <w:rPr>
          <w:rFonts w:eastAsiaTheme="minorEastAsia"/>
          <w:lang w:val="en-GB" w:eastAsia="zh-CN"/>
        </w:rPr>
        <w:t>regard</w:t>
      </w:r>
      <w:r w:rsidRPr="00FF6279">
        <w:rPr>
          <w:rFonts w:eastAsiaTheme="minorEastAsia"/>
          <w:lang w:val="en-GB" w:eastAsia="zh-CN"/>
        </w:rPr>
        <w:t xml:space="preserve"> it as the baseline to improve the reliability</w:t>
      </w:r>
      <w:r>
        <w:rPr>
          <w:rFonts w:eastAsiaTheme="minorEastAsia"/>
          <w:lang w:val="en-GB" w:eastAsia="zh-CN"/>
        </w:rPr>
        <w:t xml:space="preserve"> of NTN</w:t>
      </w:r>
      <w:r w:rsidRPr="00FF6279">
        <w:rPr>
          <w:rFonts w:eastAsiaTheme="minorEastAsia"/>
          <w:lang w:val="en-GB" w:eastAsia="zh-CN"/>
        </w:rPr>
        <w:t xml:space="preserve">. </w:t>
      </w:r>
      <w:r>
        <w:rPr>
          <w:rFonts w:eastAsiaTheme="minorEastAsia"/>
          <w:lang w:val="en-GB" w:eastAsia="zh-CN"/>
        </w:rPr>
        <w:t xml:space="preserve">The aggregated slot mode and the aggregation factor need to be delicately designed to satisfy the performance requirement for NTN and to avoid the waste of resource and </w:t>
      </w:r>
      <w:r w:rsidRPr="00AB269A">
        <w:rPr>
          <w:rFonts w:eastAsiaTheme="minorEastAsia"/>
          <w:lang w:val="en-GB" w:eastAsia="zh-CN"/>
        </w:rPr>
        <w:t>unnecessary</w:t>
      </w:r>
      <w:r>
        <w:rPr>
          <w:rFonts w:eastAsiaTheme="minorEastAsia"/>
          <w:lang w:val="en-GB" w:eastAsia="zh-CN"/>
        </w:rPr>
        <w:t xml:space="preserve"> latency for some emergency message. </w:t>
      </w:r>
      <w:bookmarkStart w:id="7" w:name="_Hlk53589288"/>
      <w:r>
        <w:rPr>
          <w:rFonts w:eastAsiaTheme="minorEastAsia"/>
          <w:lang w:val="en-GB" w:eastAsia="zh-CN"/>
        </w:rPr>
        <w:t>T</w:t>
      </w:r>
      <w:r w:rsidRPr="00AC6C24">
        <w:rPr>
          <w:rFonts w:eastAsiaTheme="minorEastAsia"/>
          <w:lang w:val="en-GB" w:eastAsia="zh-CN"/>
        </w:rPr>
        <w:t>he time interleaved slot</w:t>
      </w:r>
      <w:bookmarkEnd w:id="7"/>
      <w:r w:rsidRPr="00AC6C24">
        <w:rPr>
          <w:rFonts w:eastAsiaTheme="minorEastAsia"/>
          <w:lang w:val="en-GB" w:eastAsia="zh-CN"/>
        </w:rPr>
        <w:t xml:space="preserve"> aggregation scheme can be considered</w:t>
      </w:r>
      <w:r>
        <w:rPr>
          <w:rFonts w:eastAsiaTheme="minorEastAsia"/>
          <w:lang w:val="en-GB" w:eastAsia="zh-CN"/>
        </w:rPr>
        <w:t xml:space="preserve"> to increase the reliability, meanwhile to reduce the latency for the larger packet size cases. Considering the available resource, MCS table and packet size, the NTN network can decide the </w:t>
      </w:r>
      <w:r w:rsidRPr="00925E82">
        <w:rPr>
          <w:rFonts w:eastAsiaTheme="minorEastAsia"/>
          <w:lang w:val="en-GB" w:eastAsia="zh-CN"/>
        </w:rPr>
        <w:t>time interval</w:t>
      </w:r>
      <w:r>
        <w:rPr>
          <w:rFonts w:eastAsiaTheme="minorEastAsia"/>
          <w:lang w:val="en-GB" w:eastAsia="zh-CN"/>
        </w:rPr>
        <w:t xml:space="preserve"> and aggregation factor. For example, according to the available resource, packet size and MCS table, if the packet can be transmitted by 4 HARQ processes, then the slot interval can be 4 and if the AMC target BLER is 10%, the aggregated factor can be 2 to get l</w:t>
      </w:r>
      <w:r w:rsidRPr="006E6AD7">
        <w:rPr>
          <w:rFonts w:eastAsiaTheme="minorEastAsia"/>
          <w:lang w:val="en-GB" w:eastAsia="zh-CN"/>
        </w:rPr>
        <w:t>ess than 1% transmission error</w:t>
      </w:r>
      <w:r>
        <w:rPr>
          <w:rFonts w:eastAsiaTheme="minorEastAsia"/>
          <w:lang w:val="en-GB" w:eastAsia="zh-CN"/>
        </w:rPr>
        <w:t>.</w:t>
      </w:r>
    </w:p>
    <w:p w14:paraId="3E0BD31B" w14:textId="77777777" w:rsidR="004F7A4E" w:rsidRPr="005925E3" w:rsidRDefault="004F7A4E" w:rsidP="005925E3">
      <w:pPr>
        <w:spacing w:before="120"/>
        <w:rPr>
          <w:rFonts w:eastAsia="宋体"/>
          <w:b/>
          <w:i/>
          <w:lang w:val="en-GB" w:eastAsia="zh-CN"/>
        </w:rPr>
      </w:pPr>
      <w:r w:rsidRPr="005925E3">
        <w:rPr>
          <w:rFonts w:eastAsia="宋体" w:hint="eastAsia"/>
          <w:b/>
          <w:i/>
          <w:lang w:val="en-GB" w:eastAsia="zh-CN"/>
        </w:rPr>
        <w:t>Observation</w:t>
      </w:r>
      <w:r w:rsidRPr="005925E3">
        <w:rPr>
          <w:rFonts w:eastAsia="宋体"/>
          <w:b/>
          <w:i/>
          <w:lang w:val="en-GB" w:eastAsia="zh-CN"/>
        </w:rPr>
        <w:t xml:space="preserve"> 2: Consider time interleaved slot aggregation for NTN.</w:t>
      </w:r>
    </w:p>
    <w:p w14:paraId="66AE8DB2" w14:textId="7013DC60" w:rsidR="004F7A4E" w:rsidRPr="005925E3" w:rsidRDefault="005925E3" w:rsidP="005925E3">
      <w:pPr>
        <w:spacing w:before="120"/>
        <w:ind w:left="567" w:firstLine="567"/>
        <w:rPr>
          <w:rFonts w:eastAsia="宋体"/>
          <w:b/>
          <w:i/>
          <w:lang w:val="en-GB"/>
        </w:rPr>
      </w:pPr>
      <w:r w:rsidRPr="005925E3">
        <w:rPr>
          <w:rFonts w:eastAsia="宋体"/>
          <w:b/>
          <w:i/>
          <w:lang w:val="en-GB" w:eastAsia="zh-CN"/>
        </w:rPr>
        <w:t>-</w:t>
      </w:r>
      <w:r>
        <w:rPr>
          <w:rFonts w:eastAsia="宋体"/>
          <w:b/>
          <w:i/>
          <w:lang w:val="en-GB"/>
        </w:rPr>
        <w:t xml:space="preserve"> </w:t>
      </w:r>
      <w:r w:rsidR="004F7A4E" w:rsidRPr="005925E3">
        <w:rPr>
          <w:rFonts w:eastAsia="宋体"/>
          <w:b/>
          <w:i/>
          <w:lang w:val="en-GB"/>
        </w:rPr>
        <w:t>the slot interval depend</w:t>
      </w:r>
      <w:r w:rsidR="004F7A4E" w:rsidRPr="005925E3">
        <w:rPr>
          <w:rFonts w:eastAsia="宋体" w:hint="eastAsia"/>
          <w:b/>
          <w:i/>
          <w:lang w:val="en-GB"/>
        </w:rPr>
        <w:t>s</w:t>
      </w:r>
      <w:r w:rsidR="004F7A4E" w:rsidRPr="005925E3">
        <w:rPr>
          <w:rFonts w:eastAsia="宋体"/>
          <w:b/>
          <w:i/>
          <w:lang w:val="en-GB"/>
        </w:rPr>
        <w:t xml:space="preserve"> on the traffic packet size and transmission scheme.</w:t>
      </w:r>
    </w:p>
    <w:p w14:paraId="517ECC2A" w14:textId="77777777" w:rsidR="004F7A4E" w:rsidRDefault="004F7A4E" w:rsidP="004F7A4E">
      <w:pPr>
        <w:pStyle w:val="a0"/>
        <w:spacing w:before="120"/>
        <w:rPr>
          <w:rFonts w:eastAsiaTheme="minorEastAsia"/>
          <w:lang w:val="en-GB" w:eastAsia="zh-CN"/>
        </w:rPr>
      </w:pPr>
      <w:bookmarkStart w:id="8" w:name="OLE_LINK2"/>
      <w:bookmarkStart w:id="9" w:name="OLE_LINK10"/>
      <w:r>
        <w:rPr>
          <w:rFonts w:eastAsiaTheme="minorEastAsia"/>
          <w:lang w:val="en-GB" w:eastAsia="zh-CN"/>
        </w:rPr>
        <w:t>In other hand</w:t>
      </w:r>
      <w:bookmarkEnd w:id="8"/>
      <w:bookmarkEnd w:id="9"/>
      <w:r>
        <w:rPr>
          <w:rFonts w:eastAsiaTheme="minorEastAsia"/>
          <w:lang w:val="en-GB" w:eastAsia="zh-CN"/>
        </w:rPr>
        <w:t>, the transmission condition for each NTN scenario maybe significant</w:t>
      </w:r>
      <w:r>
        <w:rPr>
          <w:rFonts w:eastAsiaTheme="minorEastAsia" w:hint="eastAsia"/>
          <w:lang w:val="en-GB" w:eastAsia="zh-CN"/>
        </w:rPr>
        <w:t>ly</w:t>
      </w:r>
      <w:r>
        <w:rPr>
          <w:rFonts w:eastAsiaTheme="minorEastAsia"/>
          <w:lang w:val="en-GB" w:eastAsia="zh-CN"/>
        </w:rPr>
        <w:t xml:space="preserve"> different, for example, in GEO case, due to the large distance, the </w:t>
      </w:r>
      <w:r>
        <w:rPr>
          <w:rFonts w:hint="eastAsia"/>
          <w:noProof/>
          <w:szCs w:val="20"/>
          <w:lang w:eastAsia="zh-CN"/>
        </w:rPr>
        <w:t>UE will suffer from very low SINR</w:t>
      </w:r>
      <w:r>
        <w:rPr>
          <w:noProof/>
          <w:szCs w:val="20"/>
          <w:lang w:eastAsia="zh-CN"/>
        </w:rPr>
        <w:t>, while the SINR maybe higher</w:t>
      </w:r>
      <w:r w:rsidRPr="00234525">
        <w:rPr>
          <w:noProof/>
          <w:szCs w:val="20"/>
          <w:lang w:eastAsia="zh-CN"/>
        </w:rPr>
        <w:t xml:space="preserve"> </w:t>
      </w:r>
      <w:r>
        <w:rPr>
          <w:noProof/>
          <w:szCs w:val="20"/>
          <w:lang w:eastAsia="zh-CN"/>
        </w:rPr>
        <w:t xml:space="preserve">in LEO case. So for different NTN </w:t>
      </w:r>
      <w:r>
        <w:rPr>
          <w:rFonts w:eastAsiaTheme="minorEastAsia"/>
          <w:lang w:val="en-GB" w:eastAsia="zh-CN"/>
        </w:rPr>
        <w:t>scenarios</w:t>
      </w:r>
      <w:r>
        <w:rPr>
          <w:noProof/>
          <w:szCs w:val="20"/>
          <w:lang w:eastAsia="zh-CN"/>
        </w:rPr>
        <w:t xml:space="preserve">, different MCS tables and different </w:t>
      </w:r>
      <w:bookmarkStart w:id="10" w:name="_Hlk53592504"/>
      <w:r>
        <w:rPr>
          <w:noProof/>
          <w:szCs w:val="20"/>
          <w:lang w:eastAsia="zh-CN"/>
        </w:rPr>
        <w:t xml:space="preserve">aggragation factors </w:t>
      </w:r>
      <w:bookmarkEnd w:id="10"/>
      <w:r>
        <w:rPr>
          <w:noProof/>
          <w:szCs w:val="20"/>
          <w:lang w:eastAsia="zh-CN"/>
        </w:rPr>
        <w:t>should be applied.</w:t>
      </w:r>
    </w:p>
    <w:p w14:paraId="610C4696" w14:textId="77777777" w:rsidR="000B670E" w:rsidRPr="005925E3" w:rsidRDefault="000B670E" w:rsidP="005925E3">
      <w:pPr>
        <w:spacing w:before="120"/>
        <w:rPr>
          <w:rFonts w:eastAsia="宋体"/>
          <w:b/>
          <w:i/>
          <w:lang w:val="en-GB" w:eastAsia="zh-CN"/>
        </w:rPr>
      </w:pPr>
      <w:r w:rsidRPr="005925E3">
        <w:rPr>
          <w:rFonts w:eastAsia="宋体" w:hint="eastAsia"/>
          <w:b/>
          <w:i/>
          <w:lang w:val="en-GB" w:eastAsia="zh-CN"/>
        </w:rPr>
        <w:t>Observation</w:t>
      </w:r>
      <w:r w:rsidRPr="005925E3">
        <w:rPr>
          <w:rFonts w:eastAsia="宋体"/>
          <w:b/>
          <w:i/>
          <w:lang w:val="en-GB" w:eastAsia="zh-CN"/>
        </w:rPr>
        <w:t xml:space="preserve"> 3: Considering different MCS tables and different aggregation factors for different NTN scenarios is benefit to NTN.</w:t>
      </w:r>
    </w:p>
    <w:p w14:paraId="18760DAF" w14:textId="77777777" w:rsidR="004F7A4E" w:rsidRPr="005925E3" w:rsidRDefault="004F7A4E" w:rsidP="005925E3">
      <w:pPr>
        <w:spacing w:before="120"/>
        <w:rPr>
          <w:rFonts w:eastAsia="宋体"/>
          <w:b/>
          <w:i/>
          <w:lang w:val="en-GB" w:eastAsia="zh-CN"/>
        </w:rPr>
      </w:pPr>
      <w:r w:rsidRPr="005925E3">
        <w:rPr>
          <w:rFonts w:eastAsia="宋体"/>
          <w:b/>
          <w:i/>
          <w:lang w:val="en-GB" w:eastAsia="zh-CN"/>
        </w:rPr>
        <w:t>Proposal 2:  Support different MCS tables and different aggregation factors for different NTN use cases and scenarios.</w:t>
      </w:r>
    </w:p>
    <w:p w14:paraId="03F7B364" w14:textId="77777777" w:rsidR="004F7A4E" w:rsidRDefault="004F7A4E" w:rsidP="004F7A4E">
      <w:pPr>
        <w:pStyle w:val="a0"/>
        <w:spacing w:before="120"/>
        <w:rPr>
          <w:rFonts w:eastAsiaTheme="minorEastAsia"/>
          <w:lang w:val="en-GB" w:eastAsia="zh-CN"/>
        </w:rPr>
      </w:pPr>
      <w:r>
        <w:rPr>
          <w:rFonts w:eastAsiaTheme="minorEastAsia"/>
          <w:lang w:val="en-GB" w:eastAsia="zh-CN"/>
        </w:rPr>
        <w:t xml:space="preserve">With the disabled HARQ-ACK feedback, the network cannot know whether the MCS and aggregation factor are </w:t>
      </w:r>
      <w:r w:rsidRPr="00F8160C">
        <w:rPr>
          <w:rFonts w:eastAsiaTheme="minorEastAsia"/>
          <w:lang w:val="en-GB" w:eastAsia="zh-CN"/>
        </w:rPr>
        <w:t>appropriate</w:t>
      </w:r>
      <w:r>
        <w:rPr>
          <w:rFonts w:eastAsiaTheme="minorEastAsia"/>
          <w:lang w:val="en-GB" w:eastAsia="zh-CN"/>
        </w:rPr>
        <w:t xml:space="preserve"> in terms of reliability and efficiency. One solution with minimum </w:t>
      </w:r>
      <w:r>
        <w:rPr>
          <w:lang w:eastAsia="x-none"/>
        </w:rPr>
        <w:t xml:space="preserve">impacts on specification is </w:t>
      </w:r>
      <w:r>
        <w:rPr>
          <w:rFonts w:eastAsiaTheme="minorEastAsia"/>
          <w:lang w:val="en-GB" w:eastAsia="zh-CN"/>
        </w:rPr>
        <w:t xml:space="preserve">that at least one HARQ process is enabled and scheduled in some period, and then the network can adjust the MCS or aggregation factor according to the </w:t>
      </w:r>
      <w:r w:rsidRPr="00F5442C">
        <w:rPr>
          <w:rFonts w:eastAsiaTheme="minorEastAsia"/>
          <w:lang w:val="en-GB" w:eastAsia="zh-CN"/>
        </w:rPr>
        <w:t>relevant</w:t>
      </w:r>
      <w:r>
        <w:rPr>
          <w:rFonts w:eastAsiaTheme="minorEastAsia"/>
          <w:lang w:val="en-GB" w:eastAsia="zh-CN"/>
        </w:rPr>
        <w:t xml:space="preserve"> HARQ-ACK feedback. It’s up to implementation and there is no </w:t>
      </w:r>
      <w:r>
        <w:rPr>
          <w:lang w:eastAsia="x-none"/>
        </w:rPr>
        <w:t>impact on specification</w:t>
      </w:r>
      <w:r>
        <w:rPr>
          <w:rFonts w:eastAsiaTheme="minorEastAsia"/>
          <w:lang w:val="en-GB" w:eastAsia="zh-CN"/>
        </w:rPr>
        <w:t xml:space="preserve">. On the other hand, for some MAC CE signals, without the HARQ-ACK feedback, some misunderstanding between network and UEs may happen. </w:t>
      </w:r>
      <w:proofErr w:type="gramStart"/>
      <w:r>
        <w:rPr>
          <w:rFonts w:eastAsiaTheme="minorEastAsia"/>
          <w:lang w:val="en-GB" w:eastAsia="zh-CN"/>
        </w:rPr>
        <w:t>So</w:t>
      </w:r>
      <w:proofErr w:type="gramEnd"/>
      <w:r>
        <w:rPr>
          <w:rFonts w:eastAsiaTheme="minorEastAsia"/>
          <w:lang w:val="en-GB" w:eastAsia="zh-CN"/>
        </w:rPr>
        <w:t xml:space="preserve"> it’s beneficial to transmit those MAC CE signals with the enabling HARQ.</w:t>
      </w:r>
    </w:p>
    <w:p w14:paraId="759C742E" w14:textId="50A9BB60" w:rsidR="004F7A4E" w:rsidRPr="005925E3" w:rsidRDefault="004F7A4E" w:rsidP="004F7A4E">
      <w:pPr>
        <w:spacing w:before="120"/>
        <w:rPr>
          <w:rFonts w:eastAsia="宋体"/>
          <w:b/>
          <w:i/>
          <w:lang w:val="en-GB" w:eastAsia="zh-CN"/>
        </w:rPr>
      </w:pPr>
      <w:r w:rsidRPr="005925E3">
        <w:rPr>
          <w:rFonts w:eastAsia="宋体"/>
          <w:b/>
          <w:i/>
          <w:lang w:val="en-GB" w:eastAsia="zh-CN"/>
        </w:rPr>
        <w:t>Proposal 3: At least one enabled HARQ process should be configured for NTN.</w:t>
      </w:r>
    </w:p>
    <w:p w14:paraId="55D8A70E" w14:textId="3355041A" w:rsidR="00D2324A" w:rsidRDefault="00D2324A" w:rsidP="00D2324A">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D2324A">
        <w:rPr>
          <w:rFonts w:ascii="Arial" w:eastAsia="宋体" w:hAnsi="Arial"/>
          <w:bCs/>
          <w:sz w:val="32"/>
          <w:szCs w:val="20"/>
          <w:lang w:val="en-GB" w:eastAsia="zh-CN"/>
        </w:rPr>
        <w:t xml:space="preserve">HARQ-ACK codebook enhancement for </w:t>
      </w:r>
      <w:r w:rsidR="00B272F5" w:rsidRPr="00D2324A">
        <w:rPr>
          <w:rFonts w:ascii="Arial" w:eastAsia="宋体" w:hAnsi="Arial"/>
          <w:bCs/>
          <w:sz w:val="32"/>
          <w:szCs w:val="20"/>
          <w:lang w:val="en-GB" w:eastAsia="zh-CN"/>
        </w:rPr>
        <w:t>disabling</w:t>
      </w:r>
      <w:r w:rsidR="00B272F5" w:rsidRPr="00D2324A">
        <w:rPr>
          <w:rFonts w:ascii="Arial" w:eastAsia="宋体" w:hAnsi="Arial"/>
          <w:bCs/>
          <w:sz w:val="32"/>
          <w:szCs w:val="20"/>
          <w:lang w:val="en-GB" w:eastAsia="zh-CN"/>
        </w:rPr>
        <w:t xml:space="preserve"> </w:t>
      </w:r>
      <w:r w:rsidR="003963CA" w:rsidRPr="00D2324A">
        <w:rPr>
          <w:rFonts w:ascii="Arial" w:eastAsia="宋体" w:hAnsi="Arial"/>
          <w:bCs/>
          <w:sz w:val="32"/>
          <w:szCs w:val="20"/>
          <w:lang w:val="en-GB" w:eastAsia="zh-CN"/>
        </w:rPr>
        <w:t xml:space="preserve">HARQ </w:t>
      </w:r>
    </w:p>
    <w:p w14:paraId="29BEB5BD" w14:textId="69E2C932" w:rsidR="0038306B" w:rsidRDefault="00AD70AC" w:rsidP="00AD70AC">
      <w:pPr>
        <w:spacing w:before="120"/>
        <w:rPr>
          <w:rFonts w:eastAsia="宋体"/>
          <w:lang w:val="en-GB" w:eastAsia="zh-CN"/>
        </w:rPr>
      </w:pPr>
      <w:r>
        <w:rPr>
          <w:rFonts w:eastAsiaTheme="minorEastAsia"/>
          <w:lang w:eastAsia="zh-CN"/>
        </w:rPr>
        <w:t xml:space="preserve">Due to the disabling/enabling HARQ on a per HARQ process mode, the HARQ-ACK codebook scheme with disabling HARQ should be clarified. </w:t>
      </w:r>
      <w:r w:rsidRPr="009C19CE">
        <w:rPr>
          <w:rFonts w:eastAsia="Malgun Gothic"/>
          <w:lang w:eastAsia="ko-KR"/>
        </w:rPr>
        <w:t xml:space="preserve">For Type-2 HARQ-ACK codebook, </w:t>
      </w:r>
      <w:r>
        <w:rPr>
          <w:rFonts w:eastAsia="Malgun Gothic"/>
          <w:lang w:eastAsia="ko-KR"/>
        </w:rPr>
        <w:t xml:space="preserve">a </w:t>
      </w:r>
      <w:r w:rsidRPr="009C19CE">
        <w:rPr>
          <w:rFonts w:eastAsia="Malgun Gothic"/>
          <w:lang w:eastAsia="ko-KR"/>
        </w:rPr>
        <w:t xml:space="preserve">straightforward way </w:t>
      </w:r>
      <w:r>
        <w:rPr>
          <w:rFonts w:eastAsia="Malgun Gothic"/>
          <w:lang w:eastAsia="ko-KR"/>
        </w:rPr>
        <w:t xml:space="preserve">is </w:t>
      </w:r>
      <w:r w:rsidRPr="009C19CE">
        <w:rPr>
          <w:rFonts w:eastAsia="Malgun Gothic"/>
          <w:lang w:eastAsia="ko-KR"/>
        </w:rPr>
        <w:t xml:space="preserve">that UE does not feedback </w:t>
      </w:r>
      <w:r>
        <w:rPr>
          <w:rFonts w:eastAsia="Malgun Gothic"/>
          <w:lang w:eastAsia="ko-KR"/>
        </w:rPr>
        <w:t>the</w:t>
      </w:r>
      <w:r w:rsidRPr="009C19CE">
        <w:rPr>
          <w:rFonts w:eastAsia="Malgun Gothic"/>
          <w:lang w:eastAsia="ko-KR"/>
        </w:rPr>
        <w:t xml:space="preserve"> disabled HARQ processes, and DAI is no</w:t>
      </w:r>
      <w:r w:rsidRPr="00701C4E">
        <w:rPr>
          <w:rFonts w:eastAsiaTheme="minorEastAsia"/>
          <w:lang w:eastAsia="zh-CN"/>
        </w:rPr>
        <w:t xml:space="preserve">t counted </w:t>
      </w:r>
      <w:r w:rsidRPr="009C19CE">
        <w:rPr>
          <w:rFonts w:eastAsia="Malgun Gothic"/>
          <w:lang w:eastAsia="ko-KR"/>
        </w:rPr>
        <w:t xml:space="preserve">for a PDCCH which is scheduling </w:t>
      </w:r>
      <w:r>
        <w:rPr>
          <w:rFonts w:eastAsia="Malgun Gothic"/>
          <w:lang w:eastAsia="ko-KR"/>
        </w:rPr>
        <w:t>the</w:t>
      </w:r>
      <w:r w:rsidRPr="009C19CE">
        <w:rPr>
          <w:rFonts w:eastAsia="Malgun Gothic"/>
          <w:lang w:eastAsia="ko-KR"/>
        </w:rPr>
        <w:t xml:space="preserve"> disabled HARQ process.</w:t>
      </w:r>
      <w:r>
        <w:rPr>
          <w:rFonts w:eastAsia="Malgun Gothic"/>
          <w:lang w:eastAsia="ko-KR"/>
        </w:rPr>
        <w:t xml:space="preserve"> </w:t>
      </w:r>
      <w:r w:rsidRPr="009C19CE">
        <w:rPr>
          <w:rFonts w:eastAsia="Malgun Gothic"/>
          <w:lang w:eastAsia="ko-KR"/>
        </w:rPr>
        <w:t>For Type-</w:t>
      </w:r>
      <w:r>
        <w:rPr>
          <w:rFonts w:eastAsia="Malgun Gothic"/>
          <w:lang w:eastAsia="ko-KR"/>
        </w:rPr>
        <w:t>1</w:t>
      </w:r>
      <w:r w:rsidRPr="009C19CE">
        <w:rPr>
          <w:rFonts w:eastAsia="Malgun Gothic"/>
          <w:lang w:eastAsia="ko-KR"/>
        </w:rPr>
        <w:t xml:space="preserve"> HARQ-ACK codebook</w:t>
      </w:r>
      <w:r>
        <w:rPr>
          <w:rFonts w:eastAsia="Malgun Gothic"/>
          <w:lang w:eastAsia="ko-KR"/>
        </w:rPr>
        <w:t xml:space="preserve">, a </w:t>
      </w:r>
      <w:r w:rsidRPr="009C19CE">
        <w:rPr>
          <w:rFonts w:eastAsia="Malgun Gothic"/>
          <w:lang w:eastAsia="ko-KR"/>
        </w:rPr>
        <w:t xml:space="preserve">straightforward way </w:t>
      </w:r>
      <w:r>
        <w:rPr>
          <w:rFonts w:eastAsia="Malgun Gothic"/>
          <w:lang w:eastAsia="ko-KR"/>
        </w:rPr>
        <w:t xml:space="preserve">is </w:t>
      </w:r>
      <w:r w:rsidRPr="009C19CE">
        <w:rPr>
          <w:rFonts w:eastAsia="Malgun Gothic"/>
          <w:lang w:eastAsia="ko-KR"/>
        </w:rPr>
        <w:t>that</w:t>
      </w:r>
      <w:r>
        <w:rPr>
          <w:rFonts w:eastAsia="Malgun Gothic"/>
          <w:lang w:eastAsia="ko-KR"/>
        </w:rPr>
        <w:t xml:space="preserve"> UE does not change the HARQ-ACK determination scheme. If</w:t>
      </w:r>
      <w:r>
        <w:t xml:space="preserve"> all the HARQ processes </w:t>
      </w:r>
      <w:r w:rsidRPr="00AE44D6">
        <w:rPr>
          <w:lang w:eastAsia="zh-CN"/>
        </w:rPr>
        <w:t>within the</w:t>
      </w:r>
      <w:r>
        <w:rPr>
          <w:lang w:eastAsia="zh-CN"/>
        </w:rPr>
        <w:t xml:space="preserve"> </w:t>
      </w:r>
      <w:r>
        <w:rPr>
          <w:rFonts w:cs="Arial"/>
          <w:noProof/>
          <w:position w:val="-12"/>
          <w:lang w:eastAsia="zh-CN"/>
        </w:rPr>
        <w:drawing>
          <wp:inline distT="0" distB="0" distL="0" distR="0" wp14:anchorId="3C4D6732" wp14:editId="007CAF73">
            <wp:extent cx="273685" cy="1809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AE44D6">
        <w:t xml:space="preserve"> occasions</w:t>
      </w:r>
      <w:r>
        <w:t xml:space="preserve"> are disabled, this HARQ-ACK feedback can be </w:t>
      </w:r>
      <w:bookmarkStart w:id="11" w:name="OLE_LINK5"/>
      <w:bookmarkStart w:id="12" w:name="OLE_LINK9"/>
      <w:r>
        <w:t>omitted</w:t>
      </w:r>
      <w:bookmarkEnd w:id="11"/>
      <w:bookmarkEnd w:id="12"/>
      <w:r>
        <w:t xml:space="preserve">. If both enabled and disabled HARQ processes within the </w:t>
      </w:r>
      <w:r>
        <w:rPr>
          <w:rFonts w:cs="Arial"/>
          <w:noProof/>
          <w:position w:val="-12"/>
          <w:lang w:eastAsia="zh-CN"/>
        </w:rPr>
        <w:drawing>
          <wp:inline distT="0" distB="0" distL="0" distR="0" wp14:anchorId="4A6390CA" wp14:editId="68B67032">
            <wp:extent cx="273685" cy="1809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AE44D6">
        <w:t xml:space="preserve"> occasions</w:t>
      </w:r>
      <w:r>
        <w:t xml:space="preserve"> are </w:t>
      </w:r>
      <w:r w:rsidRPr="00701C4E">
        <w:rPr>
          <w:rFonts w:eastAsia="Malgun Gothic"/>
          <w:lang w:eastAsia="ko-KR"/>
        </w:rPr>
        <w:t>transmitted, one simple approach is to</w:t>
      </w:r>
      <w:r>
        <w:t xml:space="preserve"> </w:t>
      </w:r>
      <w:r w:rsidRPr="004E4AD0">
        <w:t xml:space="preserve">insert </w:t>
      </w:r>
      <w:r w:rsidRPr="005F0C00">
        <w:t xml:space="preserve">ACK or NACK depending on the decoding </w:t>
      </w:r>
      <w:r>
        <w:t>results</w:t>
      </w:r>
      <w:r w:rsidRPr="005F0C00">
        <w:t xml:space="preserve"> of the PDSCHs</w:t>
      </w:r>
      <w:r w:rsidRPr="004E4AD0">
        <w:t xml:space="preserve"> in the positions corresponding to </w:t>
      </w:r>
      <w:r>
        <w:t xml:space="preserve">the </w:t>
      </w:r>
      <w:r w:rsidRPr="004E4AD0">
        <w:t xml:space="preserve">PDSCHs associated with </w:t>
      </w:r>
      <w:r>
        <w:t xml:space="preserve">the </w:t>
      </w:r>
      <w:r w:rsidRPr="004E4AD0">
        <w:t>disabled HARQ processes.</w:t>
      </w:r>
      <w:r>
        <w:t xml:space="preserve"> In our understanding, one of the motivations of disabling HARQ is to reduce the re-transmission latency, and the ACK information is also </w:t>
      </w:r>
      <w:r w:rsidRPr="00693484">
        <w:t>meaningful</w:t>
      </w:r>
      <w:r>
        <w:t xml:space="preserve"> for the network to adjust the scheduling </w:t>
      </w:r>
      <w:r w:rsidRPr="009C5374">
        <w:t>strateg</w:t>
      </w:r>
      <w:r>
        <w:t>ies, such as MCS and aggregation factor.</w:t>
      </w:r>
    </w:p>
    <w:p w14:paraId="2DCFD4AA" w14:textId="74C8A594" w:rsidR="0038306B" w:rsidRPr="005925E3" w:rsidRDefault="00AD70AC" w:rsidP="00AD70AC">
      <w:pPr>
        <w:spacing w:before="120"/>
        <w:rPr>
          <w:rFonts w:eastAsia="宋体"/>
          <w:b/>
          <w:i/>
          <w:lang w:val="en-GB" w:eastAsia="zh-CN"/>
        </w:rPr>
      </w:pPr>
      <w:r w:rsidRPr="005925E3">
        <w:rPr>
          <w:rFonts w:eastAsia="宋体"/>
          <w:b/>
          <w:i/>
          <w:lang w:val="en-GB" w:eastAsia="zh-CN"/>
        </w:rPr>
        <w:lastRenderedPageBreak/>
        <w:t xml:space="preserve">Proposal 4: Support to report HARQ-ACK for disabled DL HARQ processes if enabled HARQ process(es) is within the </w:t>
      </w:r>
      <w:r w:rsidR="005925E3" w:rsidRPr="0051031D">
        <w:rPr>
          <w:rFonts w:cs="Arial"/>
          <w:b/>
          <w:noProof/>
          <w:position w:val="-12"/>
          <w:lang w:eastAsia="zh-CN"/>
        </w:rPr>
        <w:drawing>
          <wp:inline distT="0" distB="0" distL="0" distR="0" wp14:anchorId="437AF119" wp14:editId="5085038B">
            <wp:extent cx="273685"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5925E3">
        <w:rPr>
          <w:rFonts w:eastAsia="宋体"/>
          <w:b/>
          <w:i/>
          <w:lang w:val="en-GB" w:eastAsia="zh-CN"/>
        </w:rPr>
        <w:t>occasions for type-1 HARQ-ACK codebook.</w:t>
      </w:r>
    </w:p>
    <w:p w14:paraId="29508E9F" w14:textId="42398EE4" w:rsidR="00AD70AC" w:rsidRPr="0038306B" w:rsidRDefault="00DD4445" w:rsidP="00AD70AC">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DD4445">
        <w:rPr>
          <w:rFonts w:ascii="Arial" w:eastAsia="宋体" w:hAnsi="Arial" w:cs="Times New Roman"/>
          <w:b w:val="0"/>
          <w:bCs w:val="0"/>
          <w:kern w:val="0"/>
          <w:sz w:val="36"/>
          <w:szCs w:val="20"/>
          <w:lang w:eastAsia="zh-CN"/>
        </w:rPr>
        <w:t>Conclusion</w:t>
      </w:r>
    </w:p>
    <w:p w14:paraId="38A3C1D4" w14:textId="0C4E3684" w:rsidR="0038306B" w:rsidRDefault="00DD4445" w:rsidP="00AD70AC">
      <w:pPr>
        <w:spacing w:before="120"/>
        <w:rPr>
          <w:rFonts w:eastAsiaTheme="minorEastAsia"/>
          <w:lang w:eastAsia="zh-CN"/>
        </w:rPr>
      </w:pPr>
      <w:r w:rsidRPr="00FC788C">
        <w:rPr>
          <w:rFonts w:eastAsiaTheme="minorEastAsia"/>
          <w:lang w:eastAsia="zh-CN"/>
        </w:rPr>
        <w:t xml:space="preserve">In this contribution, we provide our views </w:t>
      </w:r>
      <w:r>
        <w:rPr>
          <w:rFonts w:eastAsiaTheme="minorEastAsia"/>
          <w:lang w:eastAsia="zh-CN"/>
        </w:rPr>
        <w:t>on HARQ enhancement for NR-NTN</w:t>
      </w:r>
      <w:r w:rsidRPr="00FC788C">
        <w:rPr>
          <w:rFonts w:eastAsiaTheme="minorEastAsia"/>
          <w:lang w:eastAsia="zh-CN"/>
        </w:rPr>
        <w:t xml:space="preserve"> with the following </w:t>
      </w:r>
      <w:r>
        <w:rPr>
          <w:rFonts w:eastAsiaTheme="minorEastAsia"/>
          <w:lang w:eastAsia="zh-CN"/>
        </w:rPr>
        <w:t>o</w:t>
      </w:r>
      <w:r w:rsidRPr="00E47B23">
        <w:rPr>
          <w:rFonts w:eastAsiaTheme="minorEastAsia"/>
          <w:lang w:eastAsia="zh-CN"/>
        </w:rPr>
        <w:t>bservation</w:t>
      </w:r>
      <w:r>
        <w:rPr>
          <w:rFonts w:eastAsiaTheme="minorEastAsia"/>
          <w:lang w:eastAsia="zh-CN"/>
        </w:rPr>
        <w:t>s and</w:t>
      </w:r>
      <w:r w:rsidRPr="00E47B23">
        <w:rPr>
          <w:rFonts w:eastAsiaTheme="minorEastAsia"/>
          <w:lang w:eastAsia="zh-CN"/>
        </w:rPr>
        <w:t xml:space="preserve"> </w:t>
      </w:r>
      <w:r w:rsidRPr="00FC788C">
        <w:rPr>
          <w:rFonts w:eastAsiaTheme="minorEastAsia"/>
          <w:lang w:eastAsia="zh-CN"/>
        </w:rPr>
        <w:t>proposals:</w:t>
      </w:r>
    </w:p>
    <w:p w14:paraId="788F4CD9" w14:textId="77777777" w:rsidR="008171D4" w:rsidRPr="00895EBE" w:rsidRDefault="008171D4" w:rsidP="00895EBE">
      <w:pPr>
        <w:spacing w:before="120"/>
        <w:rPr>
          <w:rFonts w:eastAsia="宋体"/>
          <w:b/>
          <w:i/>
          <w:lang w:val="en-GB" w:eastAsia="zh-CN"/>
        </w:rPr>
      </w:pPr>
      <w:r w:rsidRPr="00895EBE">
        <w:rPr>
          <w:rFonts w:eastAsia="宋体" w:hint="eastAsia"/>
          <w:b/>
          <w:i/>
          <w:lang w:val="en-GB" w:eastAsia="zh-CN"/>
        </w:rPr>
        <w:t>Observation</w:t>
      </w:r>
      <w:r w:rsidRPr="00895EBE">
        <w:rPr>
          <w:rFonts w:eastAsia="宋体"/>
          <w:b/>
          <w:i/>
          <w:lang w:val="en-GB" w:eastAsia="zh-CN"/>
        </w:rPr>
        <w:t xml:space="preserve"> 1: Considering different target BLER MCS tables for different use cases is benefit to NTN.</w:t>
      </w:r>
    </w:p>
    <w:p w14:paraId="48B59D18" w14:textId="77777777" w:rsidR="008171D4" w:rsidRPr="00895EBE" w:rsidRDefault="008171D4" w:rsidP="00895EBE">
      <w:pPr>
        <w:spacing w:before="120"/>
        <w:rPr>
          <w:rFonts w:eastAsia="宋体"/>
          <w:b/>
          <w:i/>
          <w:lang w:val="en-GB" w:eastAsia="zh-CN"/>
        </w:rPr>
      </w:pPr>
      <w:r w:rsidRPr="00895EBE">
        <w:rPr>
          <w:rFonts w:eastAsia="宋体" w:hint="eastAsia"/>
          <w:b/>
          <w:i/>
          <w:lang w:val="en-GB" w:eastAsia="zh-CN"/>
        </w:rPr>
        <w:t>Observation</w:t>
      </w:r>
      <w:r w:rsidRPr="00895EBE">
        <w:rPr>
          <w:rFonts w:eastAsia="宋体"/>
          <w:b/>
          <w:i/>
          <w:lang w:val="en-GB" w:eastAsia="zh-CN"/>
        </w:rPr>
        <w:t xml:space="preserve"> 2: Consider time interleaved slot aggregation for NTN.</w:t>
      </w:r>
    </w:p>
    <w:p w14:paraId="7A587603" w14:textId="4FAE9564" w:rsidR="008171D4" w:rsidRPr="00895EBE" w:rsidRDefault="00895EBE" w:rsidP="00895EBE">
      <w:pPr>
        <w:spacing w:before="120"/>
        <w:ind w:left="567" w:firstLine="567"/>
        <w:rPr>
          <w:rFonts w:eastAsia="宋体"/>
          <w:b/>
          <w:i/>
          <w:lang w:val="en-GB"/>
        </w:rPr>
      </w:pPr>
      <w:r w:rsidRPr="00895EBE">
        <w:rPr>
          <w:rFonts w:eastAsia="宋体"/>
          <w:b/>
          <w:i/>
          <w:lang w:val="en-GB" w:eastAsia="zh-CN"/>
        </w:rPr>
        <w:t>-</w:t>
      </w:r>
      <w:r>
        <w:rPr>
          <w:rFonts w:eastAsia="宋体"/>
          <w:b/>
          <w:i/>
          <w:lang w:val="en-GB"/>
        </w:rPr>
        <w:t xml:space="preserve"> </w:t>
      </w:r>
      <w:r w:rsidR="008171D4" w:rsidRPr="00895EBE">
        <w:rPr>
          <w:rFonts w:eastAsia="宋体"/>
          <w:b/>
          <w:i/>
          <w:lang w:val="en-GB"/>
        </w:rPr>
        <w:t>the slot interval depend</w:t>
      </w:r>
      <w:r w:rsidR="008171D4" w:rsidRPr="00895EBE">
        <w:rPr>
          <w:rFonts w:eastAsia="宋体" w:hint="eastAsia"/>
          <w:b/>
          <w:i/>
          <w:lang w:val="en-GB"/>
        </w:rPr>
        <w:t>s</w:t>
      </w:r>
      <w:r w:rsidR="008171D4" w:rsidRPr="00895EBE">
        <w:rPr>
          <w:rFonts w:eastAsia="宋体"/>
          <w:b/>
          <w:i/>
          <w:lang w:val="en-GB"/>
        </w:rPr>
        <w:t xml:space="preserve"> on the traffic packet size and transmission scheme.</w:t>
      </w:r>
    </w:p>
    <w:p w14:paraId="2F8E1383" w14:textId="02D5564C" w:rsidR="008171D4" w:rsidRPr="00895EBE" w:rsidRDefault="008171D4" w:rsidP="00895EBE">
      <w:pPr>
        <w:spacing w:before="120"/>
        <w:rPr>
          <w:rFonts w:eastAsia="宋体"/>
          <w:b/>
          <w:i/>
          <w:lang w:val="en-GB" w:eastAsia="zh-CN"/>
        </w:rPr>
      </w:pPr>
      <w:r w:rsidRPr="00895EBE">
        <w:rPr>
          <w:rFonts w:eastAsia="宋体" w:hint="eastAsia"/>
          <w:b/>
          <w:i/>
          <w:lang w:val="en-GB" w:eastAsia="zh-CN"/>
        </w:rPr>
        <w:t>Observation</w:t>
      </w:r>
      <w:r w:rsidRPr="00895EBE">
        <w:rPr>
          <w:rFonts w:eastAsia="宋体"/>
          <w:b/>
          <w:i/>
          <w:lang w:val="en-GB" w:eastAsia="zh-CN"/>
        </w:rPr>
        <w:t xml:space="preserve"> 3: Considering different MCS tables and different aggregation factors for different NTN scenarios is benefit to NTN.</w:t>
      </w:r>
    </w:p>
    <w:p w14:paraId="59915A59" w14:textId="77777777" w:rsidR="00904210" w:rsidRPr="00C139BC" w:rsidRDefault="00904210" w:rsidP="00904210">
      <w:pPr>
        <w:spacing w:before="120"/>
        <w:rPr>
          <w:rFonts w:eastAsia="宋体"/>
          <w:b/>
          <w:i/>
          <w:lang w:val="en-GB" w:eastAsia="zh-CN"/>
        </w:rPr>
      </w:pPr>
      <w:r w:rsidRPr="00C139BC">
        <w:rPr>
          <w:rFonts w:eastAsia="宋体"/>
          <w:b/>
          <w:i/>
          <w:lang w:val="en-GB" w:eastAsia="zh-CN"/>
        </w:rPr>
        <w:t>Proposal 1: Support re-interpreting existing DCI field to indicate the extension of HARQ process number for NTN.</w:t>
      </w:r>
    </w:p>
    <w:p w14:paraId="53297623" w14:textId="77777777" w:rsidR="008171D4" w:rsidRPr="00895EBE" w:rsidRDefault="008171D4" w:rsidP="00895EBE">
      <w:pPr>
        <w:spacing w:before="120"/>
        <w:rPr>
          <w:rFonts w:eastAsia="宋体"/>
          <w:b/>
          <w:i/>
          <w:lang w:val="en-GB" w:eastAsia="zh-CN"/>
        </w:rPr>
      </w:pPr>
      <w:r w:rsidRPr="00895EBE">
        <w:rPr>
          <w:rFonts w:eastAsia="宋体"/>
          <w:b/>
          <w:i/>
          <w:lang w:val="en-GB" w:eastAsia="zh-CN"/>
        </w:rPr>
        <w:t>Proposal 2:  Support different MCS tables and different aggregation factors for different NTN use cases and scenarios.</w:t>
      </w:r>
    </w:p>
    <w:p w14:paraId="14299DA7" w14:textId="77777777" w:rsidR="008171D4" w:rsidRPr="00895EBE" w:rsidRDefault="008171D4" w:rsidP="008171D4">
      <w:pPr>
        <w:spacing w:before="120"/>
        <w:rPr>
          <w:rFonts w:eastAsia="宋体"/>
          <w:b/>
          <w:i/>
          <w:lang w:val="en-GB" w:eastAsia="zh-CN"/>
        </w:rPr>
      </w:pPr>
      <w:r w:rsidRPr="00895EBE">
        <w:rPr>
          <w:rFonts w:eastAsia="宋体"/>
          <w:b/>
          <w:i/>
          <w:lang w:val="en-GB" w:eastAsia="zh-CN"/>
        </w:rPr>
        <w:t>Proposal 3: At least one enabled HARQ process should be configured for NTN.</w:t>
      </w:r>
    </w:p>
    <w:p w14:paraId="1D33511A" w14:textId="24BA9593" w:rsidR="00DD4445" w:rsidRPr="00895EBE" w:rsidRDefault="008171D4" w:rsidP="00AD70AC">
      <w:pPr>
        <w:spacing w:before="120"/>
        <w:rPr>
          <w:rFonts w:eastAsia="宋体"/>
          <w:b/>
          <w:i/>
          <w:lang w:val="en-GB" w:eastAsia="zh-CN"/>
        </w:rPr>
      </w:pPr>
      <w:r w:rsidRPr="00895EBE">
        <w:rPr>
          <w:rFonts w:eastAsia="宋体"/>
          <w:b/>
          <w:i/>
          <w:lang w:val="en-GB" w:eastAsia="zh-CN"/>
        </w:rPr>
        <w:t>Proposal 4: Support to report HARQ-ACK for disabled DL HARQ processes if enabled HARQ process(es) is within the</w:t>
      </w:r>
      <w:r w:rsidR="00905D88">
        <w:rPr>
          <w:rFonts w:eastAsia="宋体"/>
          <w:b/>
          <w:i/>
          <w:lang w:val="en-GB" w:eastAsia="zh-CN"/>
        </w:rPr>
        <w:t xml:space="preserve"> </w:t>
      </w:r>
      <w:r w:rsidR="0051031D">
        <w:rPr>
          <w:rFonts w:cs="Arial"/>
          <w:noProof/>
          <w:position w:val="-12"/>
          <w:lang w:eastAsia="zh-CN"/>
        </w:rPr>
        <w:drawing>
          <wp:inline distT="0" distB="0" distL="0" distR="0" wp14:anchorId="2508DE6E" wp14:editId="6049EB04">
            <wp:extent cx="273685"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895EBE">
        <w:rPr>
          <w:rFonts w:eastAsia="宋体"/>
          <w:b/>
          <w:i/>
          <w:lang w:val="en-GB" w:eastAsia="zh-CN"/>
        </w:rPr>
        <w:t xml:space="preserve"> occasions for type-1 HARQ-ACK codebook.</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57A0EBA6" w14:textId="0A7A5AD6" w:rsidR="00FE7795" w:rsidRPr="00647E3E" w:rsidRDefault="00714C6D" w:rsidP="00FE7795">
      <w:pPr>
        <w:pStyle w:val="a0"/>
        <w:numPr>
          <w:ilvl w:val="0"/>
          <w:numId w:val="7"/>
        </w:numPr>
        <w:snapToGrid w:val="0"/>
        <w:spacing w:before="120" w:line="268" w:lineRule="auto"/>
        <w:contextualSpacing/>
        <w:rPr>
          <w:rFonts w:ascii="Times New Roman" w:hAnsi="Times New Roman"/>
          <w:color w:val="000000"/>
        </w:rPr>
      </w:pPr>
      <w:bookmarkStart w:id="13" w:name="_Ref536608371"/>
      <w:bookmarkStart w:id="14" w:name="_Ref23771476"/>
      <w:bookmarkStart w:id="15" w:name="_Ref53752519"/>
      <w:bookmarkEnd w:id="2"/>
      <w:bookmarkEnd w:id="3"/>
      <w:bookmarkEnd w:id="4"/>
      <w:r w:rsidRPr="001C7718">
        <w:rPr>
          <w:rFonts w:eastAsia="宋体"/>
        </w:rPr>
        <w:t>RAN WG1 #102 e-meeting Chairman’s Notes</w:t>
      </w:r>
      <w:bookmarkEnd w:id="13"/>
      <w:bookmarkEnd w:id="14"/>
      <w:bookmarkEnd w:id="15"/>
      <w:r>
        <w:rPr>
          <w:rFonts w:eastAsia="宋体"/>
          <w:szCs w:val="20"/>
          <w:lang w:eastAsia="zh-CN"/>
        </w:rPr>
        <w:t>.</w:t>
      </w:r>
    </w:p>
    <w:p w14:paraId="4B4F9477" w14:textId="76EC562E" w:rsidR="00812E9E" w:rsidRPr="00CE2A4F" w:rsidRDefault="00714C6D" w:rsidP="0094632F">
      <w:pPr>
        <w:pStyle w:val="a0"/>
        <w:numPr>
          <w:ilvl w:val="0"/>
          <w:numId w:val="7"/>
        </w:numPr>
        <w:snapToGrid w:val="0"/>
        <w:spacing w:before="120" w:line="268" w:lineRule="auto"/>
        <w:contextualSpacing/>
        <w:rPr>
          <w:rFonts w:ascii="Times New Roman" w:eastAsia="宋体" w:hAnsi="Times New Roman"/>
          <w:szCs w:val="20"/>
          <w:lang w:eastAsia="zh-CN"/>
        </w:rPr>
      </w:pPr>
      <w:r w:rsidRPr="009149B2">
        <w:rPr>
          <w:rFonts w:eastAsia="宋体"/>
          <w:szCs w:val="20"/>
          <w:lang w:eastAsia="zh-CN"/>
        </w:rPr>
        <w:t>R1-2007311</w:t>
      </w:r>
      <w:r>
        <w:rPr>
          <w:rFonts w:eastAsia="宋体"/>
          <w:szCs w:val="20"/>
          <w:lang w:eastAsia="zh-CN"/>
        </w:rPr>
        <w:t>,</w:t>
      </w:r>
      <w:r w:rsidRPr="009149B2">
        <w:rPr>
          <w:rFonts w:eastAsia="宋体"/>
          <w:szCs w:val="20"/>
          <w:lang w:eastAsia="zh-CN"/>
        </w:rPr>
        <w:t xml:space="preserve"> Summary#3 of AI 8.4.3 for HARQ in NTN</w:t>
      </w:r>
      <w:r>
        <w:rPr>
          <w:rFonts w:eastAsia="宋体"/>
          <w:szCs w:val="20"/>
          <w:lang w:eastAsia="zh-CN"/>
        </w:rPr>
        <w:t xml:space="preserve">, </w:t>
      </w:r>
      <w:r>
        <w:rPr>
          <w:rFonts w:cs="Arial"/>
          <w:sz w:val="22"/>
        </w:rPr>
        <w:t>ZTE.</w:t>
      </w:r>
      <w:bookmarkStart w:id="16" w:name="_GoBack"/>
      <w:bookmarkEnd w:id="16"/>
    </w:p>
    <w:sectPr w:rsidR="00812E9E" w:rsidRPr="00CE2A4F" w:rsidSect="00F747DD">
      <w:headerReference w:type="even" r:id="rId9"/>
      <w:headerReference w:type="default" r:id="rId10"/>
      <w:footerReference w:type="even" r:id="rId11"/>
      <w:footerReference w:type="default" r:id="rId12"/>
      <w:headerReference w:type="first" r:id="rId13"/>
      <w:footerReference w:type="first" r:id="rId14"/>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037A7" w14:textId="77777777" w:rsidR="009F2AFB" w:rsidRDefault="009F2AFB">
      <w:pPr>
        <w:spacing w:before="120"/>
      </w:pPr>
      <w:r>
        <w:separator/>
      </w:r>
    </w:p>
  </w:endnote>
  <w:endnote w:type="continuationSeparator" w:id="0">
    <w:p w14:paraId="04EB13E2" w14:textId="77777777" w:rsidR="009F2AFB" w:rsidRDefault="009F2AFB">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2F7222" w:rsidRDefault="002F7222">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2F7222" w:rsidRPr="00E7456F" w:rsidRDefault="002F7222" w:rsidP="00E7456F">
    <w:pPr>
      <w:pStyle w:val="af"/>
      <w:spacing w:before="120"/>
      <w:jc w:val="center"/>
    </w:pPr>
    <w:r>
      <w:rPr>
        <w:rStyle w:val="af1"/>
      </w:rPr>
      <w:fldChar w:fldCharType="begin"/>
    </w:r>
    <w:r>
      <w:rPr>
        <w:rStyle w:val="af1"/>
      </w:rPr>
      <w:instrText xml:space="preserve"> PAGE </w:instrText>
    </w:r>
    <w:r>
      <w:rPr>
        <w:rStyle w:val="af1"/>
      </w:rPr>
      <w:fldChar w:fldCharType="separate"/>
    </w:r>
    <w:r w:rsidR="00457439">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457439">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2F7222" w:rsidRDefault="002F7222">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EC973" w14:textId="77777777" w:rsidR="009F2AFB" w:rsidRDefault="009F2AFB">
      <w:pPr>
        <w:spacing w:before="120"/>
      </w:pPr>
      <w:r>
        <w:separator/>
      </w:r>
    </w:p>
  </w:footnote>
  <w:footnote w:type="continuationSeparator" w:id="0">
    <w:p w14:paraId="0FFC1549" w14:textId="77777777" w:rsidR="009F2AFB" w:rsidRDefault="009F2AFB">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2F7222" w:rsidRDefault="002F7222">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2F7222" w:rsidRDefault="002F7222">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2F7222" w:rsidRDefault="002F7222">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14579E"/>
    <w:multiLevelType w:val="hybridMultilevel"/>
    <w:tmpl w:val="2CE00198"/>
    <w:lvl w:ilvl="0" w:tplc="4E5CA9E4">
      <w:numFmt w:val="bullet"/>
      <w:lvlText w:val="-"/>
      <w:lvlJc w:val="left"/>
      <w:pPr>
        <w:ind w:left="780" w:hanging="420"/>
      </w:pPr>
      <w:rPr>
        <w:rFonts w:ascii="Times New Roman" w:eastAsia="MS Mincho"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F142B7"/>
    <w:multiLevelType w:val="hybridMultilevel"/>
    <w:tmpl w:val="BD421880"/>
    <w:lvl w:ilvl="0" w:tplc="6916CF48">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2"/>
  </w:num>
  <w:num w:numId="2">
    <w:abstractNumId w:val="0"/>
  </w:num>
  <w:num w:numId="3">
    <w:abstractNumId w:val="21"/>
  </w:num>
  <w:num w:numId="4">
    <w:abstractNumId w:val="20"/>
  </w:num>
  <w:num w:numId="5">
    <w:abstractNumId w:val="9"/>
  </w:num>
  <w:num w:numId="6">
    <w:abstractNumId w:val="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3"/>
  </w:num>
  <w:num w:numId="10">
    <w:abstractNumId w:val="3"/>
  </w:num>
  <w:num w:numId="11">
    <w:abstractNumId w:val="4"/>
  </w:num>
  <w:num w:numId="12">
    <w:abstractNumId w:val="11"/>
  </w:num>
  <w:num w:numId="13">
    <w:abstractNumId w:val="19"/>
  </w:num>
  <w:num w:numId="14">
    <w:abstractNumId w:val="18"/>
  </w:num>
  <w:num w:numId="15">
    <w:abstractNumId w:val="14"/>
  </w:num>
  <w:num w:numId="16">
    <w:abstractNumId w:val="8"/>
  </w:num>
  <w:num w:numId="17">
    <w:abstractNumId w:val="16"/>
  </w:num>
  <w:num w:numId="18">
    <w:abstractNumId w:val="10"/>
  </w:num>
  <w:num w:numId="19">
    <w:abstractNumId w:val="12"/>
  </w:num>
  <w:num w:numId="20">
    <w:abstractNumId w:val="7"/>
  </w:num>
  <w:num w:numId="21">
    <w:abstractNumId w:val="5"/>
  </w:num>
  <w:num w:numId="22">
    <w:abstractNumId w:val="6"/>
  </w:num>
  <w:num w:numId="23">
    <w:abstractNumId w:val="1"/>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279E"/>
    <w:rsid w:val="00002EFF"/>
    <w:rsid w:val="00003CAB"/>
    <w:rsid w:val="00004127"/>
    <w:rsid w:val="00004816"/>
    <w:rsid w:val="00004B79"/>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B0D"/>
    <w:rsid w:val="00016069"/>
    <w:rsid w:val="0001678B"/>
    <w:rsid w:val="00016828"/>
    <w:rsid w:val="00016F10"/>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42F"/>
    <w:rsid w:val="0002762A"/>
    <w:rsid w:val="0002784B"/>
    <w:rsid w:val="00027985"/>
    <w:rsid w:val="0003079E"/>
    <w:rsid w:val="00030C03"/>
    <w:rsid w:val="00032856"/>
    <w:rsid w:val="00032D0A"/>
    <w:rsid w:val="00033130"/>
    <w:rsid w:val="00033B21"/>
    <w:rsid w:val="00034348"/>
    <w:rsid w:val="00034C29"/>
    <w:rsid w:val="00034E08"/>
    <w:rsid w:val="000356D3"/>
    <w:rsid w:val="000358D1"/>
    <w:rsid w:val="000361DD"/>
    <w:rsid w:val="000363E8"/>
    <w:rsid w:val="00037290"/>
    <w:rsid w:val="000377D9"/>
    <w:rsid w:val="00037DF4"/>
    <w:rsid w:val="00037FD3"/>
    <w:rsid w:val="000409DD"/>
    <w:rsid w:val="000411B9"/>
    <w:rsid w:val="000414C9"/>
    <w:rsid w:val="00041699"/>
    <w:rsid w:val="000418F3"/>
    <w:rsid w:val="00041DD1"/>
    <w:rsid w:val="000422CD"/>
    <w:rsid w:val="00042D63"/>
    <w:rsid w:val="000437D9"/>
    <w:rsid w:val="0004428F"/>
    <w:rsid w:val="00044E66"/>
    <w:rsid w:val="0004507B"/>
    <w:rsid w:val="00045648"/>
    <w:rsid w:val="00045FCD"/>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138"/>
    <w:rsid w:val="00055ACB"/>
    <w:rsid w:val="00055E30"/>
    <w:rsid w:val="00055E8D"/>
    <w:rsid w:val="00055FCB"/>
    <w:rsid w:val="00057C3C"/>
    <w:rsid w:val="000607D8"/>
    <w:rsid w:val="00061727"/>
    <w:rsid w:val="00062D7E"/>
    <w:rsid w:val="00062F52"/>
    <w:rsid w:val="000636C4"/>
    <w:rsid w:val="0006394C"/>
    <w:rsid w:val="000639C0"/>
    <w:rsid w:val="00063DC2"/>
    <w:rsid w:val="000640A0"/>
    <w:rsid w:val="00065022"/>
    <w:rsid w:val="00065130"/>
    <w:rsid w:val="00065A0D"/>
    <w:rsid w:val="00066230"/>
    <w:rsid w:val="00066372"/>
    <w:rsid w:val="0006654D"/>
    <w:rsid w:val="000668EA"/>
    <w:rsid w:val="00067AC8"/>
    <w:rsid w:val="00067AF8"/>
    <w:rsid w:val="00067BA7"/>
    <w:rsid w:val="00067FBA"/>
    <w:rsid w:val="00070490"/>
    <w:rsid w:val="00070D4C"/>
    <w:rsid w:val="0007143F"/>
    <w:rsid w:val="000715CB"/>
    <w:rsid w:val="00071A69"/>
    <w:rsid w:val="00072B01"/>
    <w:rsid w:val="00073056"/>
    <w:rsid w:val="0007389C"/>
    <w:rsid w:val="00073D84"/>
    <w:rsid w:val="00074060"/>
    <w:rsid w:val="00075004"/>
    <w:rsid w:val="00075E15"/>
    <w:rsid w:val="000768E4"/>
    <w:rsid w:val="00076E96"/>
    <w:rsid w:val="00076F74"/>
    <w:rsid w:val="0007708D"/>
    <w:rsid w:val="000773F6"/>
    <w:rsid w:val="00077E27"/>
    <w:rsid w:val="00077FBE"/>
    <w:rsid w:val="00080662"/>
    <w:rsid w:val="000808E3"/>
    <w:rsid w:val="00080A41"/>
    <w:rsid w:val="00081023"/>
    <w:rsid w:val="00081BA3"/>
    <w:rsid w:val="000822A0"/>
    <w:rsid w:val="0008268E"/>
    <w:rsid w:val="00082BCE"/>
    <w:rsid w:val="00082F22"/>
    <w:rsid w:val="0008344F"/>
    <w:rsid w:val="00083741"/>
    <w:rsid w:val="000855F8"/>
    <w:rsid w:val="0008568B"/>
    <w:rsid w:val="00086ACA"/>
    <w:rsid w:val="00086E04"/>
    <w:rsid w:val="00087F07"/>
    <w:rsid w:val="00087FB0"/>
    <w:rsid w:val="0009129B"/>
    <w:rsid w:val="0009232B"/>
    <w:rsid w:val="0009375B"/>
    <w:rsid w:val="000938DF"/>
    <w:rsid w:val="00093F23"/>
    <w:rsid w:val="0009437D"/>
    <w:rsid w:val="00094AC5"/>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72C"/>
    <w:rsid w:val="000A18B2"/>
    <w:rsid w:val="000A1A8C"/>
    <w:rsid w:val="000A20BA"/>
    <w:rsid w:val="000A2799"/>
    <w:rsid w:val="000A2A49"/>
    <w:rsid w:val="000A2EA8"/>
    <w:rsid w:val="000A2F9A"/>
    <w:rsid w:val="000A39FA"/>
    <w:rsid w:val="000A4244"/>
    <w:rsid w:val="000A4D42"/>
    <w:rsid w:val="000A581B"/>
    <w:rsid w:val="000A59F5"/>
    <w:rsid w:val="000A5CA8"/>
    <w:rsid w:val="000A5F1C"/>
    <w:rsid w:val="000A66F1"/>
    <w:rsid w:val="000A6CDD"/>
    <w:rsid w:val="000A711A"/>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448F"/>
    <w:rsid w:val="000B4855"/>
    <w:rsid w:val="000B532F"/>
    <w:rsid w:val="000B5BB8"/>
    <w:rsid w:val="000B670E"/>
    <w:rsid w:val="000B6731"/>
    <w:rsid w:val="000B6B2F"/>
    <w:rsid w:val="000B728B"/>
    <w:rsid w:val="000B77BF"/>
    <w:rsid w:val="000C013A"/>
    <w:rsid w:val="000C0E65"/>
    <w:rsid w:val="000C13D0"/>
    <w:rsid w:val="000C1622"/>
    <w:rsid w:val="000C1986"/>
    <w:rsid w:val="000C1FF4"/>
    <w:rsid w:val="000C261B"/>
    <w:rsid w:val="000C2C02"/>
    <w:rsid w:val="000C2D44"/>
    <w:rsid w:val="000C3091"/>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9EC"/>
    <w:rsid w:val="000D332D"/>
    <w:rsid w:val="000D3CD0"/>
    <w:rsid w:val="000D44FE"/>
    <w:rsid w:val="000D515E"/>
    <w:rsid w:val="000D57AB"/>
    <w:rsid w:val="000D5CAF"/>
    <w:rsid w:val="000D63F7"/>
    <w:rsid w:val="000D6BE4"/>
    <w:rsid w:val="000D6E66"/>
    <w:rsid w:val="000D6F08"/>
    <w:rsid w:val="000D7313"/>
    <w:rsid w:val="000D76A8"/>
    <w:rsid w:val="000D77DD"/>
    <w:rsid w:val="000D78E0"/>
    <w:rsid w:val="000D7C6B"/>
    <w:rsid w:val="000D7F0F"/>
    <w:rsid w:val="000E117E"/>
    <w:rsid w:val="000E22D3"/>
    <w:rsid w:val="000E2838"/>
    <w:rsid w:val="000E2DBE"/>
    <w:rsid w:val="000E2EA4"/>
    <w:rsid w:val="000E3126"/>
    <w:rsid w:val="000E34C8"/>
    <w:rsid w:val="000E3784"/>
    <w:rsid w:val="000E3E99"/>
    <w:rsid w:val="000E4BF9"/>
    <w:rsid w:val="000E4F96"/>
    <w:rsid w:val="000E5507"/>
    <w:rsid w:val="000E566E"/>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EAE"/>
    <w:rsid w:val="000F61B1"/>
    <w:rsid w:val="000F65C5"/>
    <w:rsid w:val="000F675C"/>
    <w:rsid w:val="000F6D45"/>
    <w:rsid w:val="000F7DB5"/>
    <w:rsid w:val="000F7E9E"/>
    <w:rsid w:val="0010055C"/>
    <w:rsid w:val="0010065D"/>
    <w:rsid w:val="00100712"/>
    <w:rsid w:val="001010CE"/>
    <w:rsid w:val="001012A0"/>
    <w:rsid w:val="0010190A"/>
    <w:rsid w:val="001038A2"/>
    <w:rsid w:val="00103D3A"/>
    <w:rsid w:val="00104824"/>
    <w:rsid w:val="00104B82"/>
    <w:rsid w:val="0010515E"/>
    <w:rsid w:val="00105647"/>
    <w:rsid w:val="001058B5"/>
    <w:rsid w:val="00105DB1"/>
    <w:rsid w:val="0010634F"/>
    <w:rsid w:val="00106FD0"/>
    <w:rsid w:val="0010760E"/>
    <w:rsid w:val="00107CC3"/>
    <w:rsid w:val="001103E3"/>
    <w:rsid w:val="00110BDC"/>
    <w:rsid w:val="00110C9B"/>
    <w:rsid w:val="00110E71"/>
    <w:rsid w:val="00111DA7"/>
    <w:rsid w:val="0011248F"/>
    <w:rsid w:val="00112858"/>
    <w:rsid w:val="00112AB0"/>
    <w:rsid w:val="00112C61"/>
    <w:rsid w:val="001133CF"/>
    <w:rsid w:val="00114348"/>
    <w:rsid w:val="001148E7"/>
    <w:rsid w:val="00115013"/>
    <w:rsid w:val="00115FAF"/>
    <w:rsid w:val="001160BA"/>
    <w:rsid w:val="0011627E"/>
    <w:rsid w:val="00117AA9"/>
    <w:rsid w:val="0012192C"/>
    <w:rsid w:val="00121C8A"/>
    <w:rsid w:val="00122266"/>
    <w:rsid w:val="001228AF"/>
    <w:rsid w:val="00122DC7"/>
    <w:rsid w:val="00122F42"/>
    <w:rsid w:val="00122F85"/>
    <w:rsid w:val="00123597"/>
    <w:rsid w:val="00123A36"/>
    <w:rsid w:val="00123D5D"/>
    <w:rsid w:val="00123FA2"/>
    <w:rsid w:val="001241F2"/>
    <w:rsid w:val="00124358"/>
    <w:rsid w:val="00124816"/>
    <w:rsid w:val="001256FC"/>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69C"/>
    <w:rsid w:val="00132CD6"/>
    <w:rsid w:val="00132D5F"/>
    <w:rsid w:val="00132F48"/>
    <w:rsid w:val="0013323D"/>
    <w:rsid w:val="00134C1C"/>
    <w:rsid w:val="00134D51"/>
    <w:rsid w:val="00134F25"/>
    <w:rsid w:val="00134F41"/>
    <w:rsid w:val="0013593D"/>
    <w:rsid w:val="00135E5A"/>
    <w:rsid w:val="00135E5E"/>
    <w:rsid w:val="001367E8"/>
    <w:rsid w:val="00136856"/>
    <w:rsid w:val="00136DA7"/>
    <w:rsid w:val="001405FA"/>
    <w:rsid w:val="00140692"/>
    <w:rsid w:val="00140757"/>
    <w:rsid w:val="00140836"/>
    <w:rsid w:val="00140B2A"/>
    <w:rsid w:val="00141511"/>
    <w:rsid w:val="001416D1"/>
    <w:rsid w:val="00141CC8"/>
    <w:rsid w:val="00142040"/>
    <w:rsid w:val="00142059"/>
    <w:rsid w:val="0014240A"/>
    <w:rsid w:val="00142485"/>
    <w:rsid w:val="00142829"/>
    <w:rsid w:val="001428AB"/>
    <w:rsid w:val="001429B9"/>
    <w:rsid w:val="00142AD2"/>
    <w:rsid w:val="001439A7"/>
    <w:rsid w:val="001439C8"/>
    <w:rsid w:val="001442E0"/>
    <w:rsid w:val="001446F7"/>
    <w:rsid w:val="00145564"/>
    <w:rsid w:val="00145E42"/>
    <w:rsid w:val="001460A1"/>
    <w:rsid w:val="00146434"/>
    <w:rsid w:val="00146577"/>
    <w:rsid w:val="001465D1"/>
    <w:rsid w:val="00147E5D"/>
    <w:rsid w:val="00147F65"/>
    <w:rsid w:val="00150398"/>
    <w:rsid w:val="00150A25"/>
    <w:rsid w:val="00150EFA"/>
    <w:rsid w:val="00151437"/>
    <w:rsid w:val="00151E9D"/>
    <w:rsid w:val="001527DA"/>
    <w:rsid w:val="0015297D"/>
    <w:rsid w:val="001530FD"/>
    <w:rsid w:val="0015335C"/>
    <w:rsid w:val="001533A0"/>
    <w:rsid w:val="001534C6"/>
    <w:rsid w:val="001536F1"/>
    <w:rsid w:val="001537C6"/>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13CD"/>
    <w:rsid w:val="0016180C"/>
    <w:rsid w:val="00161986"/>
    <w:rsid w:val="00161A87"/>
    <w:rsid w:val="00161B07"/>
    <w:rsid w:val="00163B13"/>
    <w:rsid w:val="00163D09"/>
    <w:rsid w:val="00163DD7"/>
    <w:rsid w:val="00164C13"/>
    <w:rsid w:val="001651AF"/>
    <w:rsid w:val="00165ABE"/>
    <w:rsid w:val="00165B49"/>
    <w:rsid w:val="00166183"/>
    <w:rsid w:val="0016644A"/>
    <w:rsid w:val="001668E7"/>
    <w:rsid w:val="00166DFC"/>
    <w:rsid w:val="00166EE0"/>
    <w:rsid w:val="0016724B"/>
    <w:rsid w:val="00167548"/>
    <w:rsid w:val="00167975"/>
    <w:rsid w:val="00167B9E"/>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F6E"/>
    <w:rsid w:val="001753A8"/>
    <w:rsid w:val="00176256"/>
    <w:rsid w:val="001767B6"/>
    <w:rsid w:val="00176832"/>
    <w:rsid w:val="00176C04"/>
    <w:rsid w:val="00177461"/>
    <w:rsid w:val="00180E4A"/>
    <w:rsid w:val="00180EE2"/>
    <w:rsid w:val="00180FE1"/>
    <w:rsid w:val="00181741"/>
    <w:rsid w:val="00181C0C"/>
    <w:rsid w:val="00181ED0"/>
    <w:rsid w:val="00181F2E"/>
    <w:rsid w:val="00182578"/>
    <w:rsid w:val="0018258C"/>
    <w:rsid w:val="00182638"/>
    <w:rsid w:val="00182852"/>
    <w:rsid w:val="00182C51"/>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9B7"/>
    <w:rsid w:val="00193BD4"/>
    <w:rsid w:val="00193CB3"/>
    <w:rsid w:val="00195826"/>
    <w:rsid w:val="00195A32"/>
    <w:rsid w:val="00195AB9"/>
    <w:rsid w:val="00197D3E"/>
    <w:rsid w:val="001A0034"/>
    <w:rsid w:val="001A03F5"/>
    <w:rsid w:val="001A04CB"/>
    <w:rsid w:val="001A0607"/>
    <w:rsid w:val="001A0B7A"/>
    <w:rsid w:val="001A1423"/>
    <w:rsid w:val="001A16D7"/>
    <w:rsid w:val="001A1F38"/>
    <w:rsid w:val="001A3365"/>
    <w:rsid w:val="001A4331"/>
    <w:rsid w:val="001A4434"/>
    <w:rsid w:val="001A46E6"/>
    <w:rsid w:val="001A4B0F"/>
    <w:rsid w:val="001A4B6E"/>
    <w:rsid w:val="001A569D"/>
    <w:rsid w:val="001A5855"/>
    <w:rsid w:val="001A6823"/>
    <w:rsid w:val="001A68BF"/>
    <w:rsid w:val="001A71A6"/>
    <w:rsid w:val="001B02EE"/>
    <w:rsid w:val="001B0C8B"/>
    <w:rsid w:val="001B0E4A"/>
    <w:rsid w:val="001B19E0"/>
    <w:rsid w:val="001B19E4"/>
    <w:rsid w:val="001B24B0"/>
    <w:rsid w:val="001B283F"/>
    <w:rsid w:val="001B2B3B"/>
    <w:rsid w:val="001B2D8D"/>
    <w:rsid w:val="001B340F"/>
    <w:rsid w:val="001B38E4"/>
    <w:rsid w:val="001B3F0A"/>
    <w:rsid w:val="001B3FAE"/>
    <w:rsid w:val="001B4E1C"/>
    <w:rsid w:val="001B5566"/>
    <w:rsid w:val="001B5FDC"/>
    <w:rsid w:val="001B6790"/>
    <w:rsid w:val="001B7508"/>
    <w:rsid w:val="001B7868"/>
    <w:rsid w:val="001B786D"/>
    <w:rsid w:val="001B7FA9"/>
    <w:rsid w:val="001C01E9"/>
    <w:rsid w:val="001C08F3"/>
    <w:rsid w:val="001C1358"/>
    <w:rsid w:val="001C1508"/>
    <w:rsid w:val="001C2127"/>
    <w:rsid w:val="001C2481"/>
    <w:rsid w:val="001C29E8"/>
    <w:rsid w:val="001C29ED"/>
    <w:rsid w:val="001C2EB9"/>
    <w:rsid w:val="001C352F"/>
    <w:rsid w:val="001C3B33"/>
    <w:rsid w:val="001C44A0"/>
    <w:rsid w:val="001C4797"/>
    <w:rsid w:val="001C4AA6"/>
    <w:rsid w:val="001C4D12"/>
    <w:rsid w:val="001C5354"/>
    <w:rsid w:val="001C5900"/>
    <w:rsid w:val="001C5BE1"/>
    <w:rsid w:val="001C68A9"/>
    <w:rsid w:val="001C6F50"/>
    <w:rsid w:val="001D027B"/>
    <w:rsid w:val="001D0C30"/>
    <w:rsid w:val="001D18BD"/>
    <w:rsid w:val="001D1E28"/>
    <w:rsid w:val="001D20C5"/>
    <w:rsid w:val="001D2DE7"/>
    <w:rsid w:val="001D3451"/>
    <w:rsid w:val="001D39E9"/>
    <w:rsid w:val="001D45D8"/>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1E38"/>
    <w:rsid w:val="001E31EC"/>
    <w:rsid w:val="001E3763"/>
    <w:rsid w:val="001E3E02"/>
    <w:rsid w:val="001E3FD0"/>
    <w:rsid w:val="001E3FF2"/>
    <w:rsid w:val="001E433B"/>
    <w:rsid w:val="001E4455"/>
    <w:rsid w:val="001E4ED6"/>
    <w:rsid w:val="001E5429"/>
    <w:rsid w:val="001E5A13"/>
    <w:rsid w:val="001E604D"/>
    <w:rsid w:val="001E6A17"/>
    <w:rsid w:val="001E6D77"/>
    <w:rsid w:val="001E7C7C"/>
    <w:rsid w:val="001F0093"/>
    <w:rsid w:val="001F04E7"/>
    <w:rsid w:val="001F09A0"/>
    <w:rsid w:val="001F0B52"/>
    <w:rsid w:val="001F0B80"/>
    <w:rsid w:val="001F0F6B"/>
    <w:rsid w:val="001F20D7"/>
    <w:rsid w:val="001F213E"/>
    <w:rsid w:val="001F2160"/>
    <w:rsid w:val="001F2167"/>
    <w:rsid w:val="001F2704"/>
    <w:rsid w:val="001F287F"/>
    <w:rsid w:val="001F2CE2"/>
    <w:rsid w:val="001F3988"/>
    <w:rsid w:val="001F4193"/>
    <w:rsid w:val="001F4A12"/>
    <w:rsid w:val="001F530B"/>
    <w:rsid w:val="001F5ADF"/>
    <w:rsid w:val="001F62E2"/>
    <w:rsid w:val="001F651A"/>
    <w:rsid w:val="001F69D7"/>
    <w:rsid w:val="001F71EC"/>
    <w:rsid w:val="001F74FB"/>
    <w:rsid w:val="001F7632"/>
    <w:rsid w:val="001F7C06"/>
    <w:rsid w:val="00200003"/>
    <w:rsid w:val="002009CD"/>
    <w:rsid w:val="00200B7D"/>
    <w:rsid w:val="0020143D"/>
    <w:rsid w:val="00201610"/>
    <w:rsid w:val="002016AF"/>
    <w:rsid w:val="0020181F"/>
    <w:rsid w:val="00202536"/>
    <w:rsid w:val="00203845"/>
    <w:rsid w:val="00203E39"/>
    <w:rsid w:val="00204993"/>
    <w:rsid w:val="00204A6C"/>
    <w:rsid w:val="00204CA4"/>
    <w:rsid w:val="00204FA1"/>
    <w:rsid w:val="0020503E"/>
    <w:rsid w:val="00205120"/>
    <w:rsid w:val="00206103"/>
    <w:rsid w:val="002067C5"/>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EE1"/>
    <w:rsid w:val="00217018"/>
    <w:rsid w:val="0021762F"/>
    <w:rsid w:val="00217CAA"/>
    <w:rsid w:val="00217E27"/>
    <w:rsid w:val="002200FD"/>
    <w:rsid w:val="00220477"/>
    <w:rsid w:val="00220E0C"/>
    <w:rsid w:val="002211A7"/>
    <w:rsid w:val="002211ED"/>
    <w:rsid w:val="00221976"/>
    <w:rsid w:val="00222904"/>
    <w:rsid w:val="00222E3F"/>
    <w:rsid w:val="00223571"/>
    <w:rsid w:val="00223D10"/>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1F3"/>
    <w:rsid w:val="0023377C"/>
    <w:rsid w:val="002338FD"/>
    <w:rsid w:val="0023460C"/>
    <w:rsid w:val="002346F2"/>
    <w:rsid w:val="0023519E"/>
    <w:rsid w:val="00235B1D"/>
    <w:rsid w:val="00235B7E"/>
    <w:rsid w:val="00235D5B"/>
    <w:rsid w:val="00235DC3"/>
    <w:rsid w:val="00236057"/>
    <w:rsid w:val="00236579"/>
    <w:rsid w:val="0023711B"/>
    <w:rsid w:val="00237142"/>
    <w:rsid w:val="00237222"/>
    <w:rsid w:val="00237229"/>
    <w:rsid w:val="00237D28"/>
    <w:rsid w:val="00240647"/>
    <w:rsid w:val="00241153"/>
    <w:rsid w:val="002413E8"/>
    <w:rsid w:val="00241698"/>
    <w:rsid w:val="00241DA8"/>
    <w:rsid w:val="00242088"/>
    <w:rsid w:val="00242399"/>
    <w:rsid w:val="002427EA"/>
    <w:rsid w:val="002432A3"/>
    <w:rsid w:val="00243F43"/>
    <w:rsid w:val="00244B3C"/>
    <w:rsid w:val="00244BA7"/>
    <w:rsid w:val="002454FF"/>
    <w:rsid w:val="00245703"/>
    <w:rsid w:val="00246194"/>
    <w:rsid w:val="002463BC"/>
    <w:rsid w:val="00246513"/>
    <w:rsid w:val="00246583"/>
    <w:rsid w:val="00246AFF"/>
    <w:rsid w:val="00247106"/>
    <w:rsid w:val="00247364"/>
    <w:rsid w:val="002477F2"/>
    <w:rsid w:val="00250D1E"/>
    <w:rsid w:val="002512CF"/>
    <w:rsid w:val="00251B8D"/>
    <w:rsid w:val="00252E58"/>
    <w:rsid w:val="00253535"/>
    <w:rsid w:val="002535F9"/>
    <w:rsid w:val="00253A5B"/>
    <w:rsid w:val="00253D83"/>
    <w:rsid w:val="00254839"/>
    <w:rsid w:val="00255571"/>
    <w:rsid w:val="00255946"/>
    <w:rsid w:val="00255AB5"/>
    <w:rsid w:val="00255C06"/>
    <w:rsid w:val="002569E2"/>
    <w:rsid w:val="00257687"/>
    <w:rsid w:val="0025769D"/>
    <w:rsid w:val="002576EE"/>
    <w:rsid w:val="0025774B"/>
    <w:rsid w:val="00257783"/>
    <w:rsid w:val="002578B4"/>
    <w:rsid w:val="0026019F"/>
    <w:rsid w:val="00260606"/>
    <w:rsid w:val="002609E8"/>
    <w:rsid w:val="00260AE5"/>
    <w:rsid w:val="0026118C"/>
    <w:rsid w:val="002617D0"/>
    <w:rsid w:val="0026219F"/>
    <w:rsid w:val="0026304A"/>
    <w:rsid w:val="0026319B"/>
    <w:rsid w:val="00263236"/>
    <w:rsid w:val="002632C2"/>
    <w:rsid w:val="0026368D"/>
    <w:rsid w:val="00265807"/>
    <w:rsid w:val="00265848"/>
    <w:rsid w:val="002659A7"/>
    <w:rsid w:val="00265AB1"/>
    <w:rsid w:val="00265B44"/>
    <w:rsid w:val="00265E64"/>
    <w:rsid w:val="00265E6D"/>
    <w:rsid w:val="00267984"/>
    <w:rsid w:val="00267BDC"/>
    <w:rsid w:val="002702F0"/>
    <w:rsid w:val="002706A5"/>
    <w:rsid w:val="00270B29"/>
    <w:rsid w:val="0027188C"/>
    <w:rsid w:val="00272586"/>
    <w:rsid w:val="002726D5"/>
    <w:rsid w:val="002728A4"/>
    <w:rsid w:val="002728F8"/>
    <w:rsid w:val="00272EE2"/>
    <w:rsid w:val="00273DE5"/>
    <w:rsid w:val="00273ECB"/>
    <w:rsid w:val="002747E7"/>
    <w:rsid w:val="00274F4C"/>
    <w:rsid w:val="0027513B"/>
    <w:rsid w:val="00275377"/>
    <w:rsid w:val="00275575"/>
    <w:rsid w:val="00275DB3"/>
    <w:rsid w:val="0027643E"/>
    <w:rsid w:val="00276D4E"/>
    <w:rsid w:val="00276E5C"/>
    <w:rsid w:val="00276F5A"/>
    <w:rsid w:val="00277838"/>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6CEA"/>
    <w:rsid w:val="002873F4"/>
    <w:rsid w:val="002875B8"/>
    <w:rsid w:val="00287E4D"/>
    <w:rsid w:val="002907CA"/>
    <w:rsid w:val="0029084A"/>
    <w:rsid w:val="00290B5C"/>
    <w:rsid w:val="0029152A"/>
    <w:rsid w:val="0029173B"/>
    <w:rsid w:val="00291BC6"/>
    <w:rsid w:val="00291EED"/>
    <w:rsid w:val="00291F04"/>
    <w:rsid w:val="00292FA1"/>
    <w:rsid w:val="002934EE"/>
    <w:rsid w:val="002942F7"/>
    <w:rsid w:val="002946AF"/>
    <w:rsid w:val="0029480B"/>
    <w:rsid w:val="00294D51"/>
    <w:rsid w:val="002954C3"/>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813"/>
    <w:rsid w:val="002A7C5D"/>
    <w:rsid w:val="002A7EA8"/>
    <w:rsid w:val="002A7EB0"/>
    <w:rsid w:val="002B0AF1"/>
    <w:rsid w:val="002B106F"/>
    <w:rsid w:val="002B1588"/>
    <w:rsid w:val="002B221B"/>
    <w:rsid w:val="002B2580"/>
    <w:rsid w:val="002B277A"/>
    <w:rsid w:val="002B315C"/>
    <w:rsid w:val="002B34AE"/>
    <w:rsid w:val="002B34B3"/>
    <w:rsid w:val="002B3B2D"/>
    <w:rsid w:val="002B4897"/>
    <w:rsid w:val="002B4910"/>
    <w:rsid w:val="002B4DB8"/>
    <w:rsid w:val="002B4E57"/>
    <w:rsid w:val="002B5311"/>
    <w:rsid w:val="002B533E"/>
    <w:rsid w:val="002B57CE"/>
    <w:rsid w:val="002B5BBC"/>
    <w:rsid w:val="002B5FD8"/>
    <w:rsid w:val="002B6A27"/>
    <w:rsid w:val="002B6C1F"/>
    <w:rsid w:val="002B7ABE"/>
    <w:rsid w:val="002C007D"/>
    <w:rsid w:val="002C0219"/>
    <w:rsid w:val="002C0304"/>
    <w:rsid w:val="002C031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6B31"/>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D7906"/>
    <w:rsid w:val="002E09DB"/>
    <w:rsid w:val="002E0F64"/>
    <w:rsid w:val="002E12CF"/>
    <w:rsid w:val="002E1719"/>
    <w:rsid w:val="002E1EDE"/>
    <w:rsid w:val="002E335E"/>
    <w:rsid w:val="002E3A43"/>
    <w:rsid w:val="002E50D2"/>
    <w:rsid w:val="002E5303"/>
    <w:rsid w:val="002E6141"/>
    <w:rsid w:val="002E6459"/>
    <w:rsid w:val="002E66E6"/>
    <w:rsid w:val="002E6CEE"/>
    <w:rsid w:val="002E71D6"/>
    <w:rsid w:val="002E755D"/>
    <w:rsid w:val="002E7677"/>
    <w:rsid w:val="002E7685"/>
    <w:rsid w:val="002E77FF"/>
    <w:rsid w:val="002E7C0F"/>
    <w:rsid w:val="002F075F"/>
    <w:rsid w:val="002F16D7"/>
    <w:rsid w:val="002F1A77"/>
    <w:rsid w:val="002F2584"/>
    <w:rsid w:val="002F26DA"/>
    <w:rsid w:val="002F2BAD"/>
    <w:rsid w:val="002F2E09"/>
    <w:rsid w:val="002F326C"/>
    <w:rsid w:val="002F3308"/>
    <w:rsid w:val="002F3367"/>
    <w:rsid w:val="002F36FD"/>
    <w:rsid w:val="002F3855"/>
    <w:rsid w:val="002F39E5"/>
    <w:rsid w:val="002F4B45"/>
    <w:rsid w:val="002F5C89"/>
    <w:rsid w:val="002F5F93"/>
    <w:rsid w:val="002F6660"/>
    <w:rsid w:val="002F6925"/>
    <w:rsid w:val="002F6E21"/>
    <w:rsid w:val="002F7222"/>
    <w:rsid w:val="003000D5"/>
    <w:rsid w:val="00300A7E"/>
    <w:rsid w:val="003013A7"/>
    <w:rsid w:val="00301464"/>
    <w:rsid w:val="003018B7"/>
    <w:rsid w:val="003018E0"/>
    <w:rsid w:val="00302331"/>
    <w:rsid w:val="00302B4D"/>
    <w:rsid w:val="00303528"/>
    <w:rsid w:val="00303AED"/>
    <w:rsid w:val="00303D3A"/>
    <w:rsid w:val="003040FA"/>
    <w:rsid w:val="003041C3"/>
    <w:rsid w:val="0030474C"/>
    <w:rsid w:val="003048A7"/>
    <w:rsid w:val="00304985"/>
    <w:rsid w:val="00304FFE"/>
    <w:rsid w:val="0030532D"/>
    <w:rsid w:val="0030544C"/>
    <w:rsid w:val="0030553D"/>
    <w:rsid w:val="00305705"/>
    <w:rsid w:val="0030628E"/>
    <w:rsid w:val="00306359"/>
    <w:rsid w:val="00306BA4"/>
    <w:rsid w:val="00307D20"/>
    <w:rsid w:val="0031055C"/>
    <w:rsid w:val="00311693"/>
    <w:rsid w:val="00311F55"/>
    <w:rsid w:val="00312249"/>
    <w:rsid w:val="0031281E"/>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1776A"/>
    <w:rsid w:val="00317F73"/>
    <w:rsid w:val="00320316"/>
    <w:rsid w:val="00320D2D"/>
    <w:rsid w:val="00321372"/>
    <w:rsid w:val="00321581"/>
    <w:rsid w:val="00321EA9"/>
    <w:rsid w:val="003221D2"/>
    <w:rsid w:val="00322376"/>
    <w:rsid w:val="003236F5"/>
    <w:rsid w:val="00323A1D"/>
    <w:rsid w:val="00324299"/>
    <w:rsid w:val="003245C9"/>
    <w:rsid w:val="00325518"/>
    <w:rsid w:val="00325875"/>
    <w:rsid w:val="00325AA3"/>
    <w:rsid w:val="00325FEB"/>
    <w:rsid w:val="0032615D"/>
    <w:rsid w:val="00326469"/>
    <w:rsid w:val="00326A7A"/>
    <w:rsid w:val="00327BC9"/>
    <w:rsid w:val="00327D46"/>
    <w:rsid w:val="00327DBF"/>
    <w:rsid w:val="003307CA"/>
    <w:rsid w:val="00330E13"/>
    <w:rsid w:val="003311DE"/>
    <w:rsid w:val="00331876"/>
    <w:rsid w:val="00331E0D"/>
    <w:rsid w:val="0033267A"/>
    <w:rsid w:val="00332789"/>
    <w:rsid w:val="003333DF"/>
    <w:rsid w:val="00333C33"/>
    <w:rsid w:val="00334221"/>
    <w:rsid w:val="0033454B"/>
    <w:rsid w:val="00334592"/>
    <w:rsid w:val="00336320"/>
    <w:rsid w:val="00336D6F"/>
    <w:rsid w:val="00336DF2"/>
    <w:rsid w:val="00336F46"/>
    <w:rsid w:val="00337A1C"/>
    <w:rsid w:val="00340307"/>
    <w:rsid w:val="00340414"/>
    <w:rsid w:val="0034052A"/>
    <w:rsid w:val="003405E4"/>
    <w:rsid w:val="00340E0F"/>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95A"/>
    <w:rsid w:val="00346F06"/>
    <w:rsid w:val="00347C37"/>
    <w:rsid w:val="003506AB"/>
    <w:rsid w:val="00351183"/>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3B8"/>
    <w:rsid w:val="003604F9"/>
    <w:rsid w:val="00360FB6"/>
    <w:rsid w:val="0036143D"/>
    <w:rsid w:val="00361667"/>
    <w:rsid w:val="00361C4E"/>
    <w:rsid w:val="00362581"/>
    <w:rsid w:val="003631EB"/>
    <w:rsid w:val="0036339A"/>
    <w:rsid w:val="0036391E"/>
    <w:rsid w:val="00363F5F"/>
    <w:rsid w:val="003643BE"/>
    <w:rsid w:val="003647AB"/>
    <w:rsid w:val="003649F6"/>
    <w:rsid w:val="00364D92"/>
    <w:rsid w:val="00364FD9"/>
    <w:rsid w:val="00364FDD"/>
    <w:rsid w:val="00365895"/>
    <w:rsid w:val="0036633B"/>
    <w:rsid w:val="00366CB5"/>
    <w:rsid w:val="003672E0"/>
    <w:rsid w:val="0036761C"/>
    <w:rsid w:val="00367663"/>
    <w:rsid w:val="00367816"/>
    <w:rsid w:val="00367877"/>
    <w:rsid w:val="00370162"/>
    <w:rsid w:val="00370FC6"/>
    <w:rsid w:val="0037118B"/>
    <w:rsid w:val="003716EA"/>
    <w:rsid w:val="0037173A"/>
    <w:rsid w:val="0037248F"/>
    <w:rsid w:val="003725C9"/>
    <w:rsid w:val="0037280C"/>
    <w:rsid w:val="003732E3"/>
    <w:rsid w:val="00373BE7"/>
    <w:rsid w:val="00373DF3"/>
    <w:rsid w:val="003745FF"/>
    <w:rsid w:val="0037462C"/>
    <w:rsid w:val="003749AD"/>
    <w:rsid w:val="00374D2B"/>
    <w:rsid w:val="00375392"/>
    <w:rsid w:val="00375712"/>
    <w:rsid w:val="00375A5E"/>
    <w:rsid w:val="003765A3"/>
    <w:rsid w:val="0038032B"/>
    <w:rsid w:val="0038094F"/>
    <w:rsid w:val="00380C3D"/>
    <w:rsid w:val="00381009"/>
    <w:rsid w:val="0038164D"/>
    <w:rsid w:val="003817F3"/>
    <w:rsid w:val="00381B90"/>
    <w:rsid w:val="00381F8B"/>
    <w:rsid w:val="003824F8"/>
    <w:rsid w:val="00382AA7"/>
    <w:rsid w:val="00382CFF"/>
    <w:rsid w:val="00382E63"/>
    <w:rsid w:val="0038306B"/>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47B4"/>
    <w:rsid w:val="003953C9"/>
    <w:rsid w:val="00395CD3"/>
    <w:rsid w:val="00396337"/>
    <w:rsid w:val="003963CA"/>
    <w:rsid w:val="0039756F"/>
    <w:rsid w:val="00397ABE"/>
    <w:rsid w:val="00397BCC"/>
    <w:rsid w:val="003A0313"/>
    <w:rsid w:val="003A14EA"/>
    <w:rsid w:val="003A1740"/>
    <w:rsid w:val="003A1C0A"/>
    <w:rsid w:val="003A39BE"/>
    <w:rsid w:val="003A39F9"/>
    <w:rsid w:val="003A39FB"/>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21E1"/>
    <w:rsid w:val="003B3329"/>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B7F3E"/>
    <w:rsid w:val="003C0020"/>
    <w:rsid w:val="003C0408"/>
    <w:rsid w:val="003C0828"/>
    <w:rsid w:val="003C1439"/>
    <w:rsid w:val="003C1B2A"/>
    <w:rsid w:val="003C1F9E"/>
    <w:rsid w:val="003C2295"/>
    <w:rsid w:val="003C23BD"/>
    <w:rsid w:val="003C2433"/>
    <w:rsid w:val="003C2472"/>
    <w:rsid w:val="003C2C3C"/>
    <w:rsid w:val="003C37CC"/>
    <w:rsid w:val="003C38D0"/>
    <w:rsid w:val="003C3B8C"/>
    <w:rsid w:val="003C433E"/>
    <w:rsid w:val="003C43A6"/>
    <w:rsid w:val="003C43F9"/>
    <w:rsid w:val="003C4D92"/>
    <w:rsid w:val="003C4DBD"/>
    <w:rsid w:val="003C4EC9"/>
    <w:rsid w:val="003C4F67"/>
    <w:rsid w:val="003C508D"/>
    <w:rsid w:val="003C5DA4"/>
    <w:rsid w:val="003C66A2"/>
    <w:rsid w:val="003C6709"/>
    <w:rsid w:val="003C6A99"/>
    <w:rsid w:val="003C78B1"/>
    <w:rsid w:val="003D1853"/>
    <w:rsid w:val="003D2786"/>
    <w:rsid w:val="003D2B97"/>
    <w:rsid w:val="003D2FCA"/>
    <w:rsid w:val="003D3518"/>
    <w:rsid w:val="003D391D"/>
    <w:rsid w:val="003D3A81"/>
    <w:rsid w:val="003D3BD9"/>
    <w:rsid w:val="003D44CA"/>
    <w:rsid w:val="003D519E"/>
    <w:rsid w:val="003D5BC9"/>
    <w:rsid w:val="003D5C07"/>
    <w:rsid w:val="003D5D40"/>
    <w:rsid w:val="003D69DA"/>
    <w:rsid w:val="003D6B72"/>
    <w:rsid w:val="003D6E78"/>
    <w:rsid w:val="003D767F"/>
    <w:rsid w:val="003D7C9F"/>
    <w:rsid w:val="003D7EE3"/>
    <w:rsid w:val="003E05BE"/>
    <w:rsid w:val="003E0700"/>
    <w:rsid w:val="003E10EF"/>
    <w:rsid w:val="003E1101"/>
    <w:rsid w:val="003E19B1"/>
    <w:rsid w:val="003E19F7"/>
    <w:rsid w:val="003E1FDA"/>
    <w:rsid w:val="003E214C"/>
    <w:rsid w:val="003E2B89"/>
    <w:rsid w:val="003E2C05"/>
    <w:rsid w:val="003E33BB"/>
    <w:rsid w:val="003E372F"/>
    <w:rsid w:val="003E3D90"/>
    <w:rsid w:val="003E46AC"/>
    <w:rsid w:val="003E4841"/>
    <w:rsid w:val="003E5157"/>
    <w:rsid w:val="003E563D"/>
    <w:rsid w:val="003E5869"/>
    <w:rsid w:val="003E5DBC"/>
    <w:rsid w:val="003E66C0"/>
    <w:rsid w:val="003E69BE"/>
    <w:rsid w:val="003E719C"/>
    <w:rsid w:val="003E7F9B"/>
    <w:rsid w:val="003F014D"/>
    <w:rsid w:val="003F0B10"/>
    <w:rsid w:val="003F0F5D"/>
    <w:rsid w:val="003F10DD"/>
    <w:rsid w:val="003F1A46"/>
    <w:rsid w:val="003F1AEE"/>
    <w:rsid w:val="003F23F8"/>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B07"/>
    <w:rsid w:val="003F707C"/>
    <w:rsid w:val="00400B6B"/>
    <w:rsid w:val="00400F29"/>
    <w:rsid w:val="00400F37"/>
    <w:rsid w:val="00401370"/>
    <w:rsid w:val="004023E5"/>
    <w:rsid w:val="0040283B"/>
    <w:rsid w:val="00402DEE"/>
    <w:rsid w:val="0040335F"/>
    <w:rsid w:val="00403E92"/>
    <w:rsid w:val="00403F09"/>
    <w:rsid w:val="0040487B"/>
    <w:rsid w:val="00404E71"/>
    <w:rsid w:val="00405630"/>
    <w:rsid w:val="00405B19"/>
    <w:rsid w:val="00406253"/>
    <w:rsid w:val="00406467"/>
    <w:rsid w:val="00406521"/>
    <w:rsid w:val="004065A3"/>
    <w:rsid w:val="0040660D"/>
    <w:rsid w:val="0040781A"/>
    <w:rsid w:val="00407D19"/>
    <w:rsid w:val="00407F18"/>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64"/>
    <w:rsid w:val="00415E23"/>
    <w:rsid w:val="00416C5B"/>
    <w:rsid w:val="004209CA"/>
    <w:rsid w:val="00420D38"/>
    <w:rsid w:val="004215D8"/>
    <w:rsid w:val="00421E87"/>
    <w:rsid w:val="00421F2B"/>
    <w:rsid w:val="00421F41"/>
    <w:rsid w:val="00422F47"/>
    <w:rsid w:val="00423044"/>
    <w:rsid w:val="004232A5"/>
    <w:rsid w:val="00423300"/>
    <w:rsid w:val="004237DB"/>
    <w:rsid w:val="00423843"/>
    <w:rsid w:val="00423DCA"/>
    <w:rsid w:val="004243A9"/>
    <w:rsid w:val="004249E7"/>
    <w:rsid w:val="00424BC0"/>
    <w:rsid w:val="00424BEE"/>
    <w:rsid w:val="0042531B"/>
    <w:rsid w:val="00425A1A"/>
    <w:rsid w:val="00425DC9"/>
    <w:rsid w:val="00426025"/>
    <w:rsid w:val="004272DE"/>
    <w:rsid w:val="00427A9D"/>
    <w:rsid w:val="00427AB7"/>
    <w:rsid w:val="004313DB"/>
    <w:rsid w:val="00431413"/>
    <w:rsid w:val="0043158A"/>
    <w:rsid w:val="00431839"/>
    <w:rsid w:val="00431E02"/>
    <w:rsid w:val="00431E2A"/>
    <w:rsid w:val="00432049"/>
    <w:rsid w:val="00432CC3"/>
    <w:rsid w:val="00433088"/>
    <w:rsid w:val="00434B9F"/>
    <w:rsid w:val="00434E4E"/>
    <w:rsid w:val="00435545"/>
    <w:rsid w:val="00435D68"/>
    <w:rsid w:val="004363C5"/>
    <w:rsid w:val="004366B4"/>
    <w:rsid w:val="00436D0D"/>
    <w:rsid w:val="0043726A"/>
    <w:rsid w:val="00437564"/>
    <w:rsid w:val="00437941"/>
    <w:rsid w:val="00437963"/>
    <w:rsid w:val="00440519"/>
    <w:rsid w:val="004405B2"/>
    <w:rsid w:val="00440DEF"/>
    <w:rsid w:val="00440F80"/>
    <w:rsid w:val="00441750"/>
    <w:rsid w:val="004421CD"/>
    <w:rsid w:val="00442242"/>
    <w:rsid w:val="00442E09"/>
    <w:rsid w:val="00442FB3"/>
    <w:rsid w:val="004441E2"/>
    <w:rsid w:val="0044466C"/>
    <w:rsid w:val="00444BD2"/>
    <w:rsid w:val="00445219"/>
    <w:rsid w:val="0044537E"/>
    <w:rsid w:val="0044647F"/>
    <w:rsid w:val="004464C3"/>
    <w:rsid w:val="00446637"/>
    <w:rsid w:val="00446CC8"/>
    <w:rsid w:val="00447775"/>
    <w:rsid w:val="004502DD"/>
    <w:rsid w:val="0045045F"/>
    <w:rsid w:val="004505D4"/>
    <w:rsid w:val="00450828"/>
    <w:rsid w:val="0045134F"/>
    <w:rsid w:val="00451E00"/>
    <w:rsid w:val="00452A29"/>
    <w:rsid w:val="004534A9"/>
    <w:rsid w:val="00454153"/>
    <w:rsid w:val="004547B4"/>
    <w:rsid w:val="00454C93"/>
    <w:rsid w:val="00455861"/>
    <w:rsid w:val="004572CD"/>
    <w:rsid w:val="004573A6"/>
    <w:rsid w:val="00457439"/>
    <w:rsid w:val="0045786D"/>
    <w:rsid w:val="00457F8D"/>
    <w:rsid w:val="004604BC"/>
    <w:rsid w:val="00461013"/>
    <w:rsid w:val="004612F9"/>
    <w:rsid w:val="0046239D"/>
    <w:rsid w:val="00462541"/>
    <w:rsid w:val="0046271D"/>
    <w:rsid w:val="00462D38"/>
    <w:rsid w:val="00463965"/>
    <w:rsid w:val="00463DC4"/>
    <w:rsid w:val="0046553C"/>
    <w:rsid w:val="00465C57"/>
    <w:rsid w:val="00466123"/>
    <w:rsid w:val="00466810"/>
    <w:rsid w:val="00466BDD"/>
    <w:rsid w:val="00467A3F"/>
    <w:rsid w:val="004701B9"/>
    <w:rsid w:val="00470B86"/>
    <w:rsid w:val="004711D4"/>
    <w:rsid w:val="004719EA"/>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97D"/>
    <w:rsid w:val="00482BF2"/>
    <w:rsid w:val="004831CD"/>
    <w:rsid w:val="00483334"/>
    <w:rsid w:val="00483BDB"/>
    <w:rsid w:val="00483C24"/>
    <w:rsid w:val="00484843"/>
    <w:rsid w:val="00485896"/>
    <w:rsid w:val="00485DA0"/>
    <w:rsid w:val="00486122"/>
    <w:rsid w:val="00486D7B"/>
    <w:rsid w:val="00486FEB"/>
    <w:rsid w:val="00487AAD"/>
    <w:rsid w:val="00487AEA"/>
    <w:rsid w:val="00490EE9"/>
    <w:rsid w:val="00490F6A"/>
    <w:rsid w:val="004920CE"/>
    <w:rsid w:val="004921F4"/>
    <w:rsid w:val="00492EDE"/>
    <w:rsid w:val="0049327F"/>
    <w:rsid w:val="00493E6D"/>
    <w:rsid w:val="00494081"/>
    <w:rsid w:val="00494528"/>
    <w:rsid w:val="00494DEF"/>
    <w:rsid w:val="0049598C"/>
    <w:rsid w:val="00496850"/>
    <w:rsid w:val="00497313"/>
    <w:rsid w:val="004973D4"/>
    <w:rsid w:val="004978EE"/>
    <w:rsid w:val="00497E40"/>
    <w:rsid w:val="004A0039"/>
    <w:rsid w:val="004A0421"/>
    <w:rsid w:val="004A042F"/>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E10"/>
    <w:rsid w:val="004B0113"/>
    <w:rsid w:val="004B0686"/>
    <w:rsid w:val="004B0A66"/>
    <w:rsid w:val="004B116D"/>
    <w:rsid w:val="004B1FF1"/>
    <w:rsid w:val="004B2210"/>
    <w:rsid w:val="004B2CA6"/>
    <w:rsid w:val="004B2EFC"/>
    <w:rsid w:val="004B2F38"/>
    <w:rsid w:val="004B3156"/>
    <w:rsid w:val="004B3755"/>
    <w:rsid w:val="004B3919"/>
    <w:rsid w:val="004B3A70"/>
    <w:rsid w:val="004B4166"/>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B0C"/>
    <w:rsid w:val="004C3D3F"/>
    <w:rsid w:val="004C530A"/>
    <w:rsid w:val="004C5A6A"/>
    <w:rsid w:val="004C5D5B"/>
    <w:rsid w:val="004C604A"/>
    <w:rsid w:val="004C7256"/>
    <w:rsid w:val="004C7450"/>
    <w:rsid w:val="004C75CD"/>
    <w:rsid w:val="004D0070"/>
    <w:rsid w:val="004D020D"/>
    <w:rsid w:val="004D058C"/>
    <w:rsid w:val="004D05A2"/>
    <w:rsid w:val="004D087A"/>
    <w:rsid w:val="004D0F38"/>
    <w:rsid w:val="004D11B5"/>
    <w:rsid w:val="004D11FE"/>
    <w:rsid w:val="004D1B94"/>
    <w:rsid w:val="004D3F37"/>
    <w:rsid w:val="004D578C"/>
    <w:rsid w:val="004D602D"/>
    <w:rsid w:val="004D684C"/>
    <w:rsid w:val="004D7B88"/>
    <w:rsid w:val="004E005F"/>
    <w:rsid w:val="004E04A6"/>
    <w:rsid w:val="004E094F"/>
    <w:rsid w:val="004E0F9A"/>
    <w:rsid w:val="004E1255"/>
    <w:rsid w:val="004E1A0E"/>
    <w:rsid w:val="004E1A5B"/>
    <w:rsid w:val="004E25BF"/>
    <w:rsid w:val="004E3B0F"/>
    <w:rsid w:val="004E3E3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4E"/>
    <w:rsid w:val="004F7AC9"/>
    <w:rsid w:val="005010EC"/>
    <w:rsid w:val="00501114"/>
    <w:rsid w:val="00501C55"/>
    <w:rsid w:val="00501DF5"/>
    <w:rsid w:val="00502B39"/>
    <w:rsid w:val="00502BCB"/>
    <w:rsid w:val="00502D6F"/>
    <w:rsid w:val="00503768"/>
    <w:rsid w:val="0050377B"/>
    <w:rsid w:val="00503A91"/>
    <w:rsid w:val="00503CE0"/>
    <w:rsid w:val="0050425E"/>
    <w:rsid w:val="00504260"/>
    <w:rsid w:val="0050501C"/>
    <w:rsid w:val="005054EC"/>
    <w:rsid w:val="00505939"/>
    <w:rsid w:val="00506BE0"/>
    <w:rsid w:val="005075B8"/>
    <w:rsid w:val="00507A7B"/>
    <w:rsid w:val="0051031D"/>
    <w:rsid w:val="00510403"/>
    <w:rsid w:val="00510ADA"/>
    <w:rsid w:val="005111D1"/>
    <w:rsid w:val="0051151F"/>
    <w:rsid w:val="00511F02"/>
    <w:rsid w:val="00512244"/>
    <w:rsid w:val="005127CB"/>
    <w:rsid w:val="00512980"/>
    <w:rsid w:val="00512A32"/>
    <w:rsid w:val="00512AC0"/>
    <w:rsid w:val="00513153"/>
    <w:rsid w:val="00513EE8"/>
    <w:rsid w:val="00514D60"/>
    <w:rsid w:val="00515155"/>
    <w:rsid w:val="00515B5E"/>
    <w:rsid w:val="00516EA0"/>
    <w:rsid w:val="0051799E"/>
    <w:rsid w:val="00521075"/>
    <w:rsid w:val="005215C7"/>
    <w:rsid w:val="00521850"/>
    <w:rsid w:val="005224D5"/>
    <w:rsid w:val="00522AAF"/>
    <w:rsid w:val="00522B14"/>
    <w:rsid w:val="00522C5E"/>
    <w:rsid w:val="00522F94"/>
    <w:rsid w:val="00523D5F"/>
    <w:rsid w:val="005245D8"/>
    <w:rsid w:val="005252E7"/>
    <w:rsid w:val="005256C4"/>
    <w:rsid w:val="00525E0B"/>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8C3"/>
    <w:rsid w:val="00535A5E"/>
    <w:rsid w:val="00535F9D"/>
    <w:rsid w:val="0053638C"/>
    <w:rsid w:val="00536637"/>
    <w:rsid w:val="00536D12"/>
    <w:rsid w:val="005372B5"/>
    <w:rsid w:val="005373E5"/>
    <w:rsid w:val="005410AD"/>
    <w:rsid w:val="005412D7"/>
    <w:rsid w:val="005415D6"/>
    <w:rsid w:val="00541C5C"/>
    <w:rsid w:val="0054204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1011"/>
    <w:rsid w:val="00551185"/>
    <w:rsid w:val="00551E0C"/>
    <w:rsid w:val="0055239B"/>
    <w:rsid w:val="005529DC"/>
    <w:rsid w:val="00552B55"/>
    <w:rsid w:val="005543C7"/>
    <w:rsid w:val="0055471E"/>
    <w:rsid w:val="0055546D"/>
    <w:rsid w:val="00555A24"/>
    <w:rsid w:val="00556A3E"/>
    <w:rsid w:val="00556F5B"/>
    <w:rsid w:val="00556F96"/>
    <w:rsid w:val="00560015"/>
    <w:rsid w:val="005608D4"/>
    <w:rsid w:val="005609DE"/>
    <w:rsid w:val="00560A2E"/>
    <w:rsid w:val="00560D9A"/>
    <w:rsid w:val="00561231"/>
    <w:rsid w:val="0056152C"/>
    <w:rsid w:val="005615BD"/>
    <w:rsid w:val="00561A7B"/>
    <w:rsid w:val="00561AFF"/>
    <w:rsid w:val="00561BE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67B04"/>
    <w:rsid w:val="00570251"/>
    <w:rsid w:val="00570A8F"/>
    <w:rsid w:val="00570F60"/>
    <w:rsid w:val="005713B1"/>
    <w:rsid w:val="005716A1"/>
    <w:rsid w:val="00571A42"/>
    <w:rsid w:val="00571C7F"/>
    <w:rsid w:val="00571C9D"/>
    <w:rsid w:val="00572A00"/>
    <w:rsid w:val="00572C3D"/>
    <w:rsid w:val="00573520"/>
    <w:rsid w:val="00573AA2"/>
    <w:rsid w:val="00574755"/>
    <w:rsid w:val="005750B9"/>
    <w:rsid w:val="00575557"/>
    <w:rsid w:val="00575B49"/>
    <w:rsid w:val="00576628"/>
    <w:rsid w:val="0057695C"/>
    <w:rsid w:val="0057709F"/>
    <w:rsid w:val="00580007"/>
    <w:rsid w:val="005802C5"/>
    <w:rsid w:val="00580677"/>
    <w:rsid w:val="0058073E"/>
    <w:rsid w:val="005807AF"/>
    <w:rsid w:val="005809DF"/>
    <w:rsid w:val="00581089"/>
    <w:rsid w:val="00581A9B"/>
    <w:rsid w:val="00581F06"/>
    <w:rsid w:val="00582387"/>
    <w:rsid w:val="00583620"/>
    <w:rsid w:val="00583824"/>
    <w:rsid w:val="005838EB"/>
    <w:rsid w:val="005840F4"/>
    <w:rsid w:val="00584584"/>
    <w:rsid w:val="00584954"/>
    <w:rsid w:val="0058528C"/>
    <w:rsid w:val="00585407"/>
    <w:rsid w:val="00585BA1"/>
    <w:rsid w:val="00585CAB"/>
    <w:rsid w:val="0058608F"/>
    <w:rsid w:val="00586508"/>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5E3"/>
    <w:rsid w:val="00592DAF"/>
    <w:rsid w:val="00593295"/>
    <w:rsid w:val="00593936"/>
    <w:rsid w:val="005939A6"/>
    <w:rsid w:val="00593FA1"/>
    <w:rsid w:val="00594898"/>
    <w:rsid w:val="00596198"/>
    <w:rsid w:val="005962A4"/>
    <w:rsid w:val="00596FAE"/>
    <w:rsid w:val="005971E4"/>
    <w:rsid w:val="005974F7"/>
    <w:rsid w:val="00597EBD"/>
    <w:rsid w:val="005A04F8"/>
    <w:rsid w:val="005A06CB"/>
    <w:rsid w:val="005A15B7"/>
    <w:rsid w:val="005A17B9"/>
    <w:rsid w:val="005A1A32"/>
    <w:rsid w:val="005A1B4C"/>
    <w:rsid w:val="005A1EC0"/>
    <w:rsid w:val="005A20DA"/>
    <w:rsid w:val="005A27F4"/>
    <w:rsid w:val="005A3510"/>
    <w:rsid w:val="005A424B"/>
    <w:rsid w:val="005A4560"/>
    <w:rsid w:val="005A472E"/>
    <w:rsid w:val="005A4865"/>
    <w:rsid w:val="005A4BD1"/>
    <w:rsid w:val="005A5820"/>
    <w:rsid w:val="005A754A"/>
    <w:rsid w:val="005A7CE5"/>
    <w:rsid w:val="005B092B"/>
    <w:rsid w:val="005B0E8E"/>
    <w:rsid w:val="005B16A4"/>
    <w:rsid w:val="005B2BF1"/>
    <w:rsid w:val="005B2C7B"/>
    <w:rsid w:val="005B3ECA"/>
    <w:rsid w:val="005B3F7E"/>
    <w:rsid w:val="005B40B6"/>
    <w:rsid w:val="005B4890"/>
    <w:rsid w:val="005B48F0"/>
    <w:rsid w:val="005B631C"/>
    <w:rsid w:val="005B63DD"/>
    <w:rsid w:val="005B6733"/>
    <w:rsid w:val="005B7089"/>
    <w:rsid w:val="005B73C1"/>
    <w:rsid w:val="005B7644"/>
    <w:rsid w:val="005B7742"/>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BE8"/>
    <w:rsid w:val="005C7045"/>
    <w:rsid w:val="005C7CCB"/>
    <w:rsid w:val="005C7DD3"/>
    <w:rsid w:val="005D0375"/>
    <w:rsid w:val="005D07C5"/>
    <w:rsid w:val="005D0E44"/>
    <w:rsid w:val="005D14E9"/>
    <w:rsid w:val="005D25B3"/>
    <w:rsid w:val="005D25DE"/>
    <w:rsid w:val="005D389D"/>
    <w:rsid w:val="005D530B"/>
    <w:rsid w:val="005D5535"/>
    <w:rsid w:val="005D58D0"/>
    <w:rsid w:val="005D5946"/>
    <w:rsid w:val="005D63F1"/>
    <w:rsid w:val="005D655A"/>
    <w:rsid w:val="005E00C2"/>
    <w:rsid w:val="005E026F"/>
    <w:rsid w:val="005E0C3B"/>
    <w:rsid w:val="005E142E"/>
    <w:rsid w:val="005E1E11"/>
    <w:rsid w:val="005E2979"/>
    <w:rsid w:val="005E33CC"/>
    <w:rsid w:val="005E3B7D"/>
    <w:rsid w:val="005E3BD5"/>
    <w:rsid w:val="005E5340"/>
    <w:rsid w:val="005E5A27"/>
    <w:rsid w:val="005E668E"/>
    <w:rsid w:val="005E7432"/>
    <w:rsid w:val="005E7524"/>
    <w:rsid w:val="005E769A"/>
    <w:rsid w:val="005E7CDE"/>
    <w:rsid w:val="005F0D86"/>
    <w:rsid w:val="005F141F"/>
    <w:rsid w:val="005F17FB"/>
    <w:rsid w:val="005F206E"/>
    <w:rsid w:val="005F279F"/>
    <w:rsid w:val="005F292D"/>
    <w:rsid w:val="005F2D04"/>
    <w:rsid w:val="005F329F"/>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6D09"/>
    <w:rsid w:val="00607341"/>
    <w:rsid w:val="0060770C"/>
    <w:rsid w:val="00607CD9"/>
    <w:rsid w:val="00607E38"/>
    <w:rsid w:val="00607EE0"/>
    <w:rsid w:val="006103E4"/>
    <w:rsid w:val="006106D3"/>
    <w:rsid w:val="00610B5F"/>
    <w:rsid w:val="00611084"/>
    <w:rsid w:val="00612270"/>
    <w:rsid w:val="00612453"/>
    <w:rsid w:val="006129D5"/>
    <w:rsid w:val="00613091"/>
    <w:rsid w:val="0061321A"/>
    <w:rsid w:val="006136AC"/>
    <w:rsid w:val="00613930"/>
    <w:rsid w:val="0061440B"/>
    <w:rsid w:val="00614EAE"/>
    <w:rsid w:val="006152E4"/>
    <w:rsid w:val="00615B47"/>
    <w:rsid w:val="00616117"/>
    <w:rsid w:val="00616DB0"/>
    <w:rsid w:val="00617111"/>
    <w:rsid w:val="00617622"/>
    <w:rsid w:val="00617B2E"/>
    <w:rsid w:val="00621146"/>
    <w:rsid w:val="006213BE"/>
    <w:rsid w:val="00621FC6"/>
    <w:rsid w:val="00622030"/>
    <w:rsid w:val="00622310"/>
    <w:rsid w:val="006234D2"/>
    <w:rsid w:val="006239E7"/>
    <w:rsid w:val="00623D3D"/>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C11"/>
    <w:rsid w:val="00630D78"/>
    <w:rsid w:val="00631883"/>
    <w:rsid w:val="00631A72"/>
    <w:rsid w:val="00631C43"/>
    <w:rsid w:val="0063249A"/>
    <w:rsid w:val="0063380F"/>
    <w:rsid w:val="006339A6"/>
    <w:rsid w:val="00633A30"/>
    <w:rsid w:val="00633EE7"/>
    <w:rsid w:val="00633F54"/>
    <w:rsid w:val="00634EC6"/>
    <w:rsid w:val="00635028"/>
    <w:rsid w:val="0063545D"/>
    <w:rsid w:val="00635943"/>
    <w:rsid w:val="00635E0A"/>
    <w:rsid w:val="00636AFB"/>
    <w:rsid w:val="00637094"/>
    <w:rsid w:val="006375C4"/>
    <w:rsid w:val="006379B2"/>
    <w:rsid w:val="0064062F"/>
    <w:rsid w:val="006409F3"/>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E5D"/>
    <w:rsid w:val="006469E4"/>
    <w:rsid w:val="00646D76"/>
    <w:rsid w:val="00647F84"/>
    <w:rsid w:val="006524BE"/>
    <w:rsid w:val="00653227"/>
    <w:rsid w:val="006532C7"/>
    <w:rsid w:val="006536FD"/>
    <w:rsid w:val="0065488D"/>
    <w:rsid w:val="00654C79"/>
    <w:rsid w:val="00654DC3"/>
    <w:rsid w:val="0065518F"/>
    <w:rsid w:val="00655386"/>
    <w:rsid w:val="00655947"/>
    <w:rsid w:val="00655FE4"/>
    <w:rsid w:val="006560FC"/>
    <w:rsid w:val="00656330"/>
    <w:rsid w:val="006567BC"/>
    <w:rsid w:val="00656C46"/>
    <w:rsid w:val="00657187"/>
    <w:rsid w:val="006576AB"/>
    <w:rsid w:val="00660103"/>
    <w:rsid w:val="00661BC0"/>
    <w:rsid w:val="00661FEF"/>
    <w:rsid w:val="006630FA"/>
    <w:rsid w:val="00663E69"/>
    <w:rsid w:val="0066456F"/>
    <w:rsid w:val="00664F62"/>
    <w:rsid w:val="00665005"/>
    <w:rsid w:val="00665E47"/>
    <w:rsid w:val="00666902"/>
    <w:rsid w:val="00666980"/>
    <w:rsid w:val="006669AC"/>
    <w:rsid w:val="0066708C"/>
    <w:rsid w:val="006705A2"/>
    <w:rsid w:val="00670C1C"/>
    <w:rsid w:val="006712F4"/>
    <w:rsid w:val="00671CF6"/>
    <w:rsid w:val="006722AF"/>
    <w:rsid w:val="006729B9"/>
    <w:rsid w:val="00673620"/>
    <w:rsid w:val="00673937"/>
    <w:rsid w:val="00673DD9"/>
    <w:rsid w:val="00675394"/>
    <w:rsid w:val="00675D46"/>
    <w:rsid w:val="00675EFE"/>
    <w:rsid w:val="00676267"/>
    <w:rsid w:val="00676622"/>
    <w:rsid w:val="00676BA6"/>
    <w:rsid w:val="0067736A"/>
    <w:rsid w:val="006776BD"/>
    <w:rsid w:val="00677ABE"/>
    <w:rsid w:val="00677B80"/>
    <w:rsid w:val="00677C4C"/>
    <w:rsid w:val="00680793"/>
    <w:rsid w:val="006807DD"/>
    <w:rsid w:val="00680930"/>
    <w:rsid w:val="00680F42"/>
    <w:rsid w:val="006816DD"/>
    <w:rsid w:val="00681B1A"/>
    <w:rsid w:val="006820E8"/>
    <w:rsid w:val="0068213B"/>
    <w:rsid w:val="00682324"/>
    <w:rsid w:val="006830A3"/>
    <w:rsid w:val="00683316"/>
    <w:rsid w:val="006833D1"/>
    <w:rsid w:val="00684E5E"/>
    <w:rsid w:val="00685325"/>
    <w:rsid w:val="006855A7"/>
    <w:rsid w:val="00685884"/>
    <w:rsid w:val="006858AA"/>
    <w:rsid w:val="00685B7B"/>
    <w:rsid w:val="0068613C"/>
    <w:rsid w:val="00686322"/>
    <w:rsid w:val="00686806"/>
    <w:rsid w:val="00686C40"/>
    <w:rsid w:val="00686CFD"/>
    <w:rsid w:val="006875A4"/>
    <w:rsid w:val="00687860"/>
    <w:rsid w:val="00690262"/>
    <w:rsid w:val="0069031D"/>
    <w:rsid w:val="006903E5"/>
    <w:rsid w:val="00690451"/>
    <w:rsid w:val="00690AC0"/>
    <w:rsid w:val="006912D7"/>
    <w:rsid w:val="00691685"/>
    <w:rsid w:val="00691FCB"/>
    <w:rsid w:val="00692773"/>
    <w:rsid w:val="006927E9"/>
    <w:rsid w:val="006928DC"/>
    <w:rsid w:val="00692B2A"/>
    <w:rsid w:val="006934BB"/>
    <w:rsid w:val="0069457A"/>
    <w:rsid w:val="00694A4D"/>
    <w:rsid w:val="006954D1"/>
    <w:rsid w:val="006960FB"/>
    <w:rsid w:val="0069640C"/>
    <w:rsid w:val="00696897"/>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3C9"/>
    <w:rsid w:val="006A7601"/>
    <w:rsid w:val="006B05B0"/>
    <w:rsid w:val="006B06E1"/>
    <w:rsid w:val="006B09ED"/>
    <w:rsid w:val="006B1718"/>
    <w:rsid w:val="006B19C4"/>
    <w:rsid w:val="006B2683"/>
    <w:rsid w:val="006B2E4E"/>
    <w:rsid w:val="006B3229"/>
    <w:rsid w:val="006B3CBD"/>
    <w:rsid w:val="006B3EEB"/>
    <w:rsid w:val="006B44C0"/>
    <w:rsid w:val="006B49CF"/>
    <w:rsid w:val="006B517A"/>
    <w:rsid w:val="006B5A7C"/>
    <w:rsid w:val="006B5BFC"/>
    <w:rsid w:val="006B5DC2"/>
    <w:rsid w:val="006B6C18"/>
    <w:rsid w:val="006B6CCB"/>
    <w:rsid w:val="006B6D7E"/>
    <w:rsid w:val="006B70BE"/>
    <w:rsid w:val="006B7842"/>
    <w:rsid w:val="006B7939"/>
    <w:rsid w:val="006C0949"/>
    <w:rsid w:val="006C151C"/>
    <w:rsid w:val="006C1BB8"/>
    <w:rsid w:val="006C2DF1"/>
    <w:rsid w:val="006C3073"/>
    <w:rsid w:val="006C398C"/>
    <w:rsid w:val="006C3E00"/>
    <w:rsid w:val="006C4254"/>
    <w:rsid w:val="006C481D"/>
    <w:rsid w:val="006C509C"/>
    <w:rsid w:val="006C5EB5"/>
    <w:rsid w:val="006C655E"/>
    <w:rsid w:val="006C6CC0"/>
    <w:rsid w:val="006C7617"/>
    <w:rsid w:val="006D02E3"/>
    <w:rsid w:val="006D0510"/>
    <w:rsid w:val="006D079F"/>
    <w:rsid w:val="006D0931"/>
    <w:rsid w:val="006D0B57"/>
    <w:rsid w:val="006D104F"/>
    <w:rsid w:val="006D1184"/>
    <w:rsid w:val="006D1CFC"/>
    <w:rsid w:val="006D2509"/>
    <w:rsid w:val="006D277F"/>
    <w:rsid w:val="006D2E5C"/>
    <w:rsid w:val="006D351E"/>
    <w:rsid w:val="006D3C8B"/>
    <w:rsid w:val="006D41C5"/>
    <w:rsid w:val="006D4442"/>
    <w:rsid w:val="006D4449"/>
    <w:rsid w:val="006D4486"/>
    <w:rsid w:val="006D45A8"/>
    <w:rsid w:val="006D4FBE"/>
    <w:rsid w:val="006D50A9"/>
    <w:rsid w:val="006D510C"/>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9E3"/>
    <w:rsid w:val="006E1C2B"/>
    <w:rsid w:val="006E21B9"/>
    <w:rsid w:val="006E2A6B"/>
    <w:rsid w:val="006E2C93"/>
    <w:rsid w:val="006E2F7B"/>
    <w:rsid w:val="006E351E"/>
    <w:rsid w:val="006E39A7"/>
    <w:rsid w:val="006E45DD"/>
    <w:rsid w:val="006E4814"/>
    <w:rsid w:val="006E5011"/>
    <w:rsid w:val="006E51E5"/>
    <w:rsid w:val="006E541B"/>
    <w:rsid w:val="006E5492"/>
    <w:rsid w:val="006E5551"/>
    <w:rsid w:val="006E5BC3"/>
    <w:rsid w:val="006E5F9F"/>
    <w:rsid w:val="006E718A"/>
    <w:rsid w:val="006E74AF"/>
    <w:rsid w:val="006E75A4"/>
    <w:rsid w:val="006F0A4D"/>
    <w:rsid w:val="006F1059"/>
    <w:rsid w:val="006F1382"/>
    <w:rsid w:val="006F1A4B"/>
    <w:rsid w:val="006F1AB3"/>
    <w:rsid w:val="006F1EB4"/>
    <w:rsid w:val="006F2E37"/>
    <w:rsid w:val="006F3026"/>
    <w:rsid w:val="006F36C0"/>
    <w:rsid w:val="006F4240"/>
    <w:rsid w:val="006F467E"/>
    <w:rsid w:val="006F5154"/>
    <w:rsid w:val="006F5CB5"/>
    <w:rsid w:val="006F5F0F"/>
    <w:rsid w:val="006F622C"/>
    <w:rsid w:val="006F6C53"/>
    <w:rsid w:val="00700038"/>
    <w:rsid w:val="00700097"/>
    <w:rsid w:val="00701299"/>
    <w:rsid w:val="007016BD"/>
    <w:rsid w:val="00701E99"/>
    <w:rsid w:val="0070223D"/>
    <w:rsid w:val="00702BB3"/>
    <w:rsid w:val="00703C95"/>
    <w:rsid w:val="00704347"/>
    <w:rsid w:val="00705877"/>
    <w:rsid w:val="00705A93"/>
    <w:rsid w:val="007066EB"/>
    <w:rsid w:val="007069C6"/>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C6D"/>
    <w:rsid w:val="00714F49"/>
    <w:rsid w:val="00715120"/>
    <w:rsid w:val="007157F1"/>
    <w:rsid w:val="00715CE6"/>
    <w:rsid w:val="00715DD0"/>
    <w:rsid w:val="00715F5B"/>
    <w:rsid w:val="00716163"/>
    <w:rsid w:val="0071721A"/>
    <w:rsid w:val="007173C4"/>
    <w:rsid w:val="007202AB"/>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5EB0"/>
    <w:rsid w:val="007263DB"/>
    <w:rsid w:val="00726A48"/>
    <w:rsid w:val="00726CDA"/>
    <w:rsid w:val="00726D74"/>
    <w:rsid w:val="00727347"/>
    <w:rsid w:val="007308B9"/>
    <w:rsid w:val="00730A1E"/>
    <w:rsid w:val="00731086"/>
    <w:rsid w:val="0073143E"/>
    <w:rsid w:val="00731B5E"/>
    <w:rsid w:val="00732111"/>
    <w:rsid w:val="007322BF"/>
    <w:rsid w:val="007324D6"/>
    <w:rsid w:val="007326F2"/>
    <w:rsid w:val="00733003"/>
    <w:rsid w:val="00733652"/>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2AF2"/>
    <w:rsid w:val="007434F7"/>
    <w:rsid w:val="00743CFC"/>
    <w:rsid w:val="00744076"/>
    <w:rsid w:val="0074430C"/>
    <w:rsid w:val="00744992"/>
    <w:rsid w:val="00744CB2"/>
    <w:rsid w:val="00745138"/>
    <w:rsid w:val="00746357"/>
    <w:rsid w:val="00746432"/>
    <w:rsid w:val="00746B5C"/>
    <w:rsid w:val="00746D35"/>
    <w:rsid w:val="00746F83"/>
    <w:rsid w:val="0074742C"/>
    <w:rsid w:val="00750473"/>
    <w:rsid w:val="00750581"/>
    <w:rsid w:val="007515A7"/>
    <w:rsid w:val="007531C7"/>
    <w:rsid w:val="00753461"/>
    <w:rsid w:val="0075364D"/>
    <w:rsid w:val="0075378D"/>
    <w:rsid w:val="00753BB4"/>
    <w:rsid w:val="0075518A"/>
    <w:rsid w:val="007554DF"/>
    <w:rsid w:val="007556C2"/>
    <w:rsid w:val="0075647B"/>
    <w:rsid w:val="00756613"/>
    <w:rsid w:val="00756C67"/>
    <w:rsid w:val="00756CD8"/>
    <w:rsid w:val="0075703B"/>
    <w:rsid w:val="00757852"/>
    <w:rsid w:val="00760A36"/>
    <w:rsid w:val="00761251"/>
    <w:rsid w:val="007619F0"/>
    <w:rsid w:val="00761FF0"/>
    <w:rsid w:val="00763141"/>
    <w:rsid w:val="0076347F"/>
    <w:rsid w:val="00763580"/>
    <w:rsid w:val="00763BB7"/>
    <w:rsid w:val="00763F20"/>
    <w:rsid w:val="00763FB9"/>
    <w:rsid w:val="00764266"/>
    <w:rsid w:val="00764384"/>
    <w:rsid w:val="00764BD5"/>
    <w:rsid w:val="00764F1D"/>
    <w:rsid w:val="00765C0E"/>
    <w:rsid w:val="0076638E"/>
    <w:rsid w:val="0076659A"/>
    <w:rsid w:val="00766870"/>
    <w:rsid w:val="007672E3"/>
    <w:rsid w:val="007677C0"/>
    <w:rsid w:val="007679CD"/>
    <w:rsid w:val="00770038"/>
    <w:rsid w:val="00770B92"/>
    <w:rsid w:val="007710D9"/>
    <w:rsid w:val="007715D2"/>
    <w:rsid w:val="00771632"/>
    <w:rsid w:val="00772FFB"/>
    <w:rsid w:val="00773193"/>
    <w:rsid w:val="00774216"/>
    <w:rsid w:val="00774892"/>
    <w:rsid w:val="00774B75"/>
    <w:rsid w:val="00775167"/>
    <w:rsid w:val="00776381"/>
    <w:rsid w:val="00776E05"/>
    <w:rsid w:val="00776E82"/>
    <w:rsid w:val="0077721A"/>
    <w:rsid w:val="007773E1"/>
    <w:rsid w:val="00777B7A"/>
    <w:rsid w:val="007800EC"/>
    <w:rsid w:val="00780505"/>
    <w:rsid w:val="00780F07"/>
    <w:rsid w:val="00781B77"/>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7A5"/>
    <w:rsid w:val="0078791E"/>
    <w:rsid w:val="00790802"/>
    <w:rsid w:val="00790D3E"/>
    <w:rsid w:val="00791143"/>
    <w:rsid w:val="00791251"/>
    <w:rsid w:val="00791E9B"/>
    <w:rsid w:val="00791F8B"/>
    <w:rsid w:val="00793084"/>
    <w:rsid w:val="00793331"/>
    <w:rsid w:val="00793570"/>
    <w:rsid w:val="007937EE"/>
    <w:rsid w:val="0079388C"/>
    <w:rsid w:val="00794090"/>
    <w:rsid w:val="00795598"/>
    <w:rsid w:val="00796602"/>
    <w:rsid w:val="00796CD0"/>
    <w:rsid w:val="00797305"/>
    <w:rsid w:val="00797336"/>
    <w:rsid w:val="00797B6D"/>
    <w:rsid w:val="00797F32"/>
    <w:rsid w:val="007A0976"/>
    <w:rsid w:val="007A3F35"/>
    <w:rsid w:val="007A6A92"/>
    <w:rsid w:val="007A7517"/>
    <w:rsid w:val="007B021F"/>
    <w:rsid w:val="007B0733"/>
    <w:rsid w:val="007B0C3D"/>
    <w:rsid w:val="007B10E8"/>
    <w:rsid w:val="007B16C2"/>
    <w:rsid w:val="007B18BA"/>
    <w:rsid w:val="007B2031"/>
    <w:rsid w:val="007B2465"/>
    <w:rsid w:val="007B321E"/>
    <w:rsid w:val="007B3EA6"/>
    <w:rsid w:val="007B4000"/>
    <w:rsid w:val="007B41D4"/>
    <w:rsid w:val="007B4D0E"/>
    <w:rsid w:val="007B520B"/>
    <w:rsid w:val="007B5891"/>
    <w:rsid w:val="007B5906"/>
    <w:rsid w:val="007B5A5D"/>
    <w:rsid w:val="007B60DA"/>
    <w:rsid w:val="007B6E4C"/>
    <w:rsid w:val="007B72E6"/>
    <w:rsid w:val="007B7858"/>
    <w:rsid w:val="007B7915"/>
    <w:rsid w:val="007B7A1E"/>
    <w:rsid w:val="007B7E13"/>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AF"/>
    <w:rsid w:val="007C4F9A"/>
    <w:rsid w:val="007C53F9"/>
    <w:rsid w:val="007C6012"/>
    <w:rsid w:val="007C67AC"/>
    <w:rsid w:val="007D025B"/>
    <w:rsid w:val="007D0B63"/>
    <w:rsid w:val="007D0C2E"/>
    <w:rsid w:val="007D19CB"/>
    <w:rsid w:val="007D1CF9"/>
    <w:rsid w:val="007D2194"/>
    <w:rsid w:val="007D2C48"/>
    <w:rsid w:val="007D314C"/>
    <w:rsid w:val="007D42CF"/>
    <w:rsid w:val="007D4366"/>
    <w:rsid w:val="007D48FD"/>
    <w:rsid w:val="007D5CE9"/>
    <w:rsid w:val="007D630E"/>
    <w:rsid w:val="007D6E49"/>
    <w:rsid w:val="007D715C"/>
    <w:rsid w:val="007D7258"/>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82B"/>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B7B"/>
    <w:rsid w:val="007F4E89"/>
    <w:rsid w:val="007F545B"/>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A34"/>
    <w:rsid w:val="00802BCB"/>
    <w:rsid w:val="00802D26"/>
    <w:rsid w:val="00802F02"/>
    <w:rsid w:val="008031E8"/>
    <w:rsid w:val="00803708"/>
    <w:rsid w:val="008043A4"/>
    <w:rsid w:val="00804D0D"/>
    <w:rsid w:val="008058CC"/>
    <w:rsid w:val="00805BD2"/>
    <w:rsid w:val="00805BDD"/>
    <w:rsid w:val="008066B9"/>
    <w:rsid w:val="00806AB9"/>
    <w:rsid w:val="00806DBB"/>
    <w:rsid w:val="00807449"/>
    <w:rsid w:val="00807B9C"/>
    <w:rsid w:val="0081093B"/>
    <w:rsid w:val="00810E89"/>
    <w:rsid w:val="0081151B"/>
    <w:rsid w:val="00812340"/>
    <w:rsid w:val="00812A3A"/>
    <w:rsid w:val="00812E9E"/>
    <w:rsid w:val="0081308D"/>
    <w:rsid w:val="0081473D"/>
    <w:rsid w:val="00814E23"/>
    <w:rsid w:val="00815432"/>
    <w:rsid w:val="00815470"/>
    <w:rsid w:val="008158D8"/>
    <w:rsid w:val="00815E0D"/>
    <w:rsid w:val="008171D4"/>
    <w:rsid w:val="00817479"/>
    <w:rsid w:val="0082079B"/>
    <w:rsid w:val="00820A03"/>
    <w:rsid w:val="00820BB1"/>
    <w:rsid w:val="00820C44"/>
    <w:rsid w:val="008211E0"/>
    <w:rsid w:val="008212BE"/>
    <w:rsid w:val="008217E2"/>
    <w:rsid w:val="008236C1"/>
    <w:rsid w:val="00824314"/>
    <w:rsid w:val="0082461F"/>
    <w:rsid w:val="00824F86"/>
    <w:rsid w:val="008259B6"/>
    <w:rsid w:val="00825AC6"/>
    <w:rsid w:val="00825CCD"/>
    <w:rsid w:val="00825F55"/>
    <w:rsid w:val="00826EED"/>
    <w:rsid w:val="00826EFA"/>
    <w:rsid w:val="008270C8"/>
    <w:rsid w:val="008271F2"/>
    <w:rsid w:val="008276F5"/>
    <w:rsid w:val="00827E67"/>
    <w:rsid w:val="008316FC"/>
    <w:rsid w:val="00831D08"/>
    <w:rsid w:val="0083207D"/>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37EA0"/>
    <w:rsid w:val="0084019B"/>
    <w:rsid w:val="0084054B"/>
    <w:rsid w:val="0084122A"/>
    <w:rsid w:val="00841674"/>
    <w:rsid w:val="008424A0"/>
    <w:rsid w:val="008427B7"/>
    <w:rsid w:val="00842FAA"/>
    <w:rsid w:val="008434EB"/>
    <w:rsid w:val="00843DE3"/>
    <w:rsid w:val="00844516"/>
    <w:rsid w:val="00844D26"/>
    <w:rsid w:val="00844F36"/>
    <w:rsid w:val="00845037"/>
    <w:rsid w:val="0084555C"/>
    <w:rsid w:val="0084595A"/>
    <w:rsid w:val="00845EF4"/>
    <w:rsid w:val="00846501"/>
    <w:rsid w:val="00846A4E"/>
    <w:rsid w:val="00846AFC"/>
    <w:rsid w:val="008474D2"/>
    <w:rsid w:val="00847993"/>
    <w:rsid w:val="008501C8"/>
    <w:rsid w:val="008503AB"/>
    <w:rsid w:val="00850A80"/>
    <w:rsid w:val="00851075"/>
    <w:rsid w:val="008510F6"/>
    <w:rsid w:val="008513F6"/>
    <w:rsid w:val="00851B75"/>
    <w:rsid w:val="008521AD"/>
    <w:rsid w:val="008521C4"/>
    <w:rsid w:val="00852465"/>
    <w:rsid w:val="008524B3"/>
    <w:rsid w:val="0085297A"/>
    <w:rsid w:val="00852B63"/>
    <w:rsid w:val="00852F06"/>
    <w:rsid w:val="0085491B"/>
    <w:rsid w:val="008550A6"/>
    <w:rsid w:val="00855B05"/>
    <w:rsid w:val="00855B99"/>
    <w:rsid w:val="0085607A"/>
    <w:rsid w:val="00856488"/>
    <w:rsid w:val="00856AC2"/>
    <w:rsid w:val="00857441"/>
    <w:rsid w:val="00862647"/>
    <w:rsid w:val="00862A13"/>
    <w:rsid w:val="00862F22"/>
    <w:rsid w:val="00863E85"/>
    <w:rsid w:val="00863FDF"/>
    <w:rsid w:val="00864E45"/>
    <w:rsid w:val="00865876"/>
    <w:rsid w:val="008659B2"/>
    <w:rsid w:val="00865ED0"/>
    <w:rsid w:val="0086638A"/>
    <w:rsid w:val="00866768"/>
    <w:rsid w:val="00866ACC"/>
    <w:rsid w:val="00867109"/>
    <w:rsid w:val="00867A28"/>
    <w:rsid w:val="0087085A"/>
    <w:rsid w:val="00870918"/>
    <w:rsid w:val="00870D48"/>
    <w:rsid w:val="00871264"/>
    <w:rsid w:val="00871688"/>
    <w:rsid w:val="00871C18"/>
    <w:rsid w:val="008720F3"/>
    <w:rsid w:val="00873485"/>
    <w:rsid w:val="00873BFE"/>
    <w:rsid w:val="00873BFF"/>
    <w:rsid w:val="00873E89"/>
    <w:rsid w:val="00873F0F"/>
    <w:rsid w:val="0087427D"/>
    <w:rsid w:val="0087435E"/>
    <w:rsid w:val="008746BE"/>
    <w:rsid w:val="00874E19"/>
    <w:rsid w:val="00874FF1"/>
    <w:rsid w:val="00875E39"/>
    <w:rsid w:val="00875FDC"/>
    <w:rsid w:val="00876283"/>
    <w:rsid w:val="0087664F"/>
    <w:rsid w:val="00876867"/>
    <w:rsid w:val="00876A89"/>
    <w:rsid w:val="00876B26"/>
    <w:rsid w:val="00876F7D"/>
    <w:rsid w:val="00877565"/>
    <w:rsid w:val="00877757"/>
    <w:rsid w:val="00877A90"/>
    <w:rsid w:val="00877D07"/>
    <w:rsid w:val="008801BD"/>
    <w:rsid w:val="00880447"/>
    <w:rsid w:val="008816EA"/>
    <w:rsid w:val="00881A05"/>
    <w:rsid w:val="00881EC8"/>
    <w:rsid w:val="00882362"/>
    <w:rsid w:val="008825BC"/>
    <w:rsid w:val="00882D6E"/>
    <w:rsid w:val="0088316D"/>
    <w:rsid w:val="008831CC"/>
    <w:rsid w:val="00884FF4"/>
    <w:rsid w:val="008857C0"/>
    <w:rsid w:val="00885898"/>
    <w:rsid w:val="00885D9F"/>
    <w:rsid w:val="0088623E"/>
    <w:rsid w:val="008867F7"/>
    <w:rsid w:val="00886BBB"/>
    <w:rsid w:val="00887201"/>
    <w:rsid w:val="00887C83"/>
    <w:rsid w:val="00887DCD"/>
    <w:rsid w:val="00887EA9"/>
    <w:rsid w:val="00887EE8"/>
    <w:rsid w:val="00887F4B"/>
    <w:rsid w:val="0089015D"/>
    <w:rsid w:val="008904D9"/>
    <w:rsid w:val="0089050A"/>
    <w:rsid w:val="00891133"/>
    <w:rsid w:val="00891369"/>
    <w:rsid w:val="0089144C"/>
    <w:rsid w:val="008915F1"/>
    <w:rsid w:val="008917B4"/>
    <w:rsid w:val="00891C8F"/>
    <w:rsid w:val="00892185"/>
    <w:rsid w:val="008924C0"/>
    <w:rsid w:val="0089250E"/>
    <w:rsid w:val="00892D56"/>
    <w:rsid w:val="00893187"/>
    <w:rsid w:val="008934F6"/>
    <w:rsid w:val="0089353E"/>
    <w:rsid w:val="00893899"/>
    <w:rsid w:val="00893C14"/>
    <w:rsid w:val="00895011"/>
    <w:rsid w:val="00895EBE"/>
    <w:rsid w:val="008966E7"/>
    <w:rsid w:val="0089782E"/>
    <w:rsid w:val="008979E3"/>
    <w:rsid w:val="00897A24"/>
    <w:rsid w:val="00897BB1"/>
    <w:rsid w:val="008A00F1"/>
    <w:rsid w:val="008A0D54"/>
    <w:rsid w:val="008A0FB1"/>
    <w:rsid w:val="008A13AB"/>
    <w:rsid w:val="008A3109"/>
    <w:rsid w:val="008A344A"/>
    <w:rsid w:val="008A3889"/>
    <w:rsid w:val="008A4468"/>
    <w:rsid w:val="008A45AD"/>
    <w:rsid w:val="008A4CB9"/>
    <w:rsid w:val="008A4D94"/>
    <w:rsid w:val="008A575E"/>
    <w:rsid w:val="008A5B0C"/>
    <w:rsid w:val="008A5F16"/>
    <w:rsid w:val="008A7A41"/>
    <w:rsid w:val="008A7BD6"/>
    <w:rsid w:val="008A7DF7"/>
    <w:rsid w:val="008B02D6"/>
    <w:rsid w:val="008B037E"/>
    <w:rsid w:val="008B03BE"/>
    <w:rsid w:val="008B07D7"/>
    <w:rsid w:val="008B09BE"/>
    <w:rsid w:val="008B0DD3"/>
    <w:rsid w:val="008B1392"/>
    <w:rsid w:val="008B13B8"/>
    <w:rsid w:val="008B1F2C"/>
    <w:rsid w:val="008B2714"/>
    <w:rsid w:val="008B277D"/>
    <w:rsid w:val="008B3A34"/>
    <w:rsid w:val="008B3CFA"/>
    <w:rsid w:val="008B4809"/>
    <w:rsid w:val="008B4A6C"/>
    <w:rsid w:val="008B4C2A"/>
    <w:rsid w:val="008B506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40"/>
    <w:rsid w:val="008C51D8"/>
    <w:rsid w:val="008C5BBC"/>
    <w:rsid w:val="008C6131"/>
    <w:rsid w:val="008C613D"/>
    <w:rsid w:val="008C6695"/>
    <w:rsid w:val="008C680D"/>
    <w:rsid w:val="008C6C26"/>
    <w:rsid w:val="008C7695"/>
    <w:rsid w:val="008C79F5"/>
    <w:rsid w:val="008C7E04"/>
    <w:rsid w:val="008D00BE"/>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D663A"/>
    <w:rsid w:val="008D6D90"/>
    <w:rsid w:val="008E02A5"/>
    <w:rsid w:val="008E0C19"/>
    <w:rsid w:val="008E14F9"/>
    <w:rsid w:val="008E15BC"/>
    <w:rsid w:val="008E193F"/>
    <w:rsid w:val="008E31B2"/>
    <w:rsid w:val="008E409D"/>
    <w:rsid w:val="008E49FF"/>
    <w:rsid w:val="008E4DA8"/>
    <w:rsid w:val="008E4EAD"/>
    <w:rsid w:val="008E5740"/>
    <w:rsid w:val="008E6B16"/>
    <w:rsid w:val="008E6EB6"/>
    <w:rsid w:val="008E74D5"/>
    <w:rsid w:val="008E7723"/>
    <w:rsid w:val="008E7C2A"/>
    <w:rsid w:val="008F03F3"/>
    <w:rsid w:val="008F0F97"/>
    <w:rsid w:val="008F1101"/>
    <w:rsid w:val="008F151C"/>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41B"/>
    <w:rsid w:val="0090080A"/>
    <w:rsid w:val="00900EC0"/>
    <w:rsid w:val="00901E45"/>
    <w:rsid w:val="00901E67"/>
    <w:rsid w:val="00902330"/>
    <w:rsid w:val="00902476"/>
    <w:rsid w:val="0090273E"/>
    <w:rsid w:val="0090361B"/>
    <w:rsid w:val="009039F3"/>
    <w:rsid w:val="0090420B"/>
    <w:rsid w:val="00904210"/>
    <w:rsid w:val="00904613"/>
    <w:rsid w:val="009049B1"/>
    <w:rsid w:val="00904D9A"/>
    <w:rsid w:val="00905A05"/>
    <w:rsid w:val="00905D88"/>
    <w:rsid w:val="00905E3B"/>
    <w:rsid w:val="0090679C"/>
    <w:rsid w:val="00907B5C"/>
    <w:rsid w:val="0091184F"/>
    <w:rsid w:val="00911F93"/>
    <w:rsid w:val="009120E4"/>
    <w:rsid w:val="009128EA"/>
    <w:rsid w:val="00912D2A"/>
    <w:rsid w:val="0091363D"/>
    <w:rsid w:val="00913693"/>
    <w:rsid w:val="00913EA3"/>
    <w:rsid w:val="0091595D"/>
    <w:rsid w:val="00915D31"/>
    <w:rsid w:val="00915D5C"/>
    <w:rsid w:val="00915EE1"/>
    <w:rsid w:val="00915F83"/>
    <w:rsid w:val="00915FDD"/>
    <w:rsid w:val="0091649E"/>
    <w:rsid w:val="00916783"/>
    <w:rsid w:val="00916C22"/>
    <w:rsid w:val="00917D55"/>
    <w:rsid w:val="00920882"/>
    <w:rsid w:val="00920BC8"/>
    <w:rsid w:val="00920C25"/>
    <w:rsid w:val="0092169C"/>
    <w:rsid w:val="0092339E"/>
    <w:rsid w:val="0092356E"/>
    <w:rsid w:val="00923934"/>
    <w:rsid w:val="00923A2A"/>
    <w:rsid w:val="00923F9E"/>
    <w:rsid w:val="0092447F"/>
    <w:rsid w:val="00924A8F"/>
    <w:rsid w:val="0092562D"/>
    <w:rsid w:val="0092657A"/>
    <w:rsid w:val="009268A8"/>
    <w:rsid w:val="009268CF"/>
    <w:rsid w:val="00926F54"/>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51D9"/>
    <w:rsid w:val="0093559C"/>
    <w:rsid w:val="009365A9"/>
    <w:rsid w:val="009367EF"/>
    <w:rsid w:val="00937267"/>
    <w:rsid w:val="0093759A"/>
    <w:rsid w:val="00937D48"/>
    <w:rsid w:val="009408AE"/>
    <w:rsid w:val="009418F9"/>
    <w:rsid w:val="00942058"/>
    <w:rsid w:val="009421B1"/>
    <w:rsid w:val="009425A6"/>
    <w:rsid w:val="009426FC"/>
    <w:rsid w:val="00943646"/>
    <w:rsid w:val="00943DB6"/>
    <w:rsid w:val="00944686"/>
    <w:rsid w:val="00944AA9"/>
    <w:rsid w:val="00945010"/>
    <w:rsid w:val="00945414"/>
    <w:rsid w:val="00945597"/>
    <w:rsid w:val="00945639"/>
    <w:rsid w:val="0094632F"/>
    <w:rsid w:val="009464BD"/>
    <w:rsid w:val="009465CF"/>
    <w:rsid w:val="009470F9"/>
    <w:rsid w:val="0094719E"/>
    <w:rsid w:val="00947A9E"/>
    <w:rsid w:val="00947EC8"/>
    <w:rsid w:val="0095008D"/>
    <w:rsid w:val="009506EC"/>
    <w:rsid w:val="00950CB4"/>
    <w:rsid w:val="00950D21"/>
    <w:rsid w:val="00950ED6"/>
    <w:rsid w:val="00950F3A"/>
    <w:rsid w:val="009513BD"/>
    <w:rsid w:val="009519A7"/>
    <w:rsid w:val="00951B6D"/>
    <w:rsid w:val="009523D7"/>
    <w:rsid w:val="009529DD"/>
    <w:rsid w:val="00952B47"/>
    <w:rsid w:val="00952B63"/>
    <w:rsid w:val="009530EB"/>
    <w:rsid w:val="009535D9"/>
    <w:rsid w:val="009541D1"/>
    <w:rsid w:val="00954473"/>
    <w:rsid w:val="009545E2"/>
    <w:rsid w:val="009553CC"/>
    <w:rsid w:val="009554E4"/>
    <w:rsid w:val="00955608"/>
    <w:rsid w:val="00956584"/>
    <w:rsid w:val="0095744C"/>
    <w:rsid w:val="00957F15"/>
    <w:rsid w:val="00960135"/>
    <w:rsid w:val="00960493"/>
    <w:rsid w:val="00960BE5"/>
    <w:rsid w:val="0096122A"/>
    <w:rsid w:val="0096166C"/>
    <w:rsid w:val="009618DB"/>
    <w:rsid w:val="00961B7E"/>
    <w:rsid w:val="009620A9"/>
    <w:rsid w:val="0096268C"/>
    <w:rsid w:val="00962798"/>
    <w:rsid w:val="00962ED7"/>
    <w:rsid w:val="00964E25"/>
    <w:rsid w:val="009654FB"/>
    <w:rsid w:val="009658A9"/>
    <w:rsid w:val="00965A76"/>
    <w:rsid w:val="00965F2A"/>
    <w:rsid w:val="0096629A"/>
    <w:rsid w:val="00966305"/>
    <w:rsid w:val="0096662D"/>
    <w:rsid w:val="00966C3A"/>
    <w:rsid w:val="0096782B"/>
    <w:rsid w:val="00967A65"/>
    <w:rsid w:val="00967CAA"/>
    <w:rsid w:val="00967CCC"/>
    <w:rsid w:val="0097144B"/>
    <w:rsid w:val="009716A9"/>
    <w:rsid w:val="00971780"/>
    <w:rsid w:val="00972452"/>
    <w:rsid w:val="00972872"/>
    <w:rsid w:val="00973188"/>
    <w:rsid w:val="00973212"/>
    <w:rsid w:val="00973914"/>
    <w:rsid w:val="00973989"/>
    <w:rsid w:val="00973A4E"/>
    <w:rsid w:val="0097409A"/>
    <w:rsid w:val="00974237"/>
    <w:rsid w:val="00974E24"/>
    <w:rsid w:val="00975C0C"/>
    <w:rsid w:val="00975E9A"/>
    <w:rsid w:val="009761EE"/>
    <w:rsid w:val="009761F2"/>
    <w:rsid w:val="0097626F"/>
    <w:rsid w:val="009768CC"/>
    <w:rsid w:val="00977234"/>
    <w:rsid w:val="00977471"/>
    <w:rsid w:val="00977860"/>
    <w:rsid w:val="00977DDF"/>
    <w:rsid w:val="00977E72"/>
    <w:rsid w:val="00980594"/>
    <w:rsid w:val="009806B2"/>
    <w:rsid w:val="00980818"/>
    <w:rsid w:val="00980E33"/>
    <w:rsid w:val="00980EDC"/>
    <w:rsid w:val="00980F6D"/>
    <w:rsid w:val="00981261"/>
    <w:rsid w:val="009815DB"/>
    <w:rsid w:val="00983A39"/>
    <w:rsid w:val="00983D90"/>
    <w:rsid w:val="00983F1F"/>
    <w:rsid w:val="00984426"/>
    <w:rsid w:val="009847F4"/>
    <w:rsid w:val="0098514E"/>
    <w:rsid w:val="00986DB0"/>
    <w:rsid w:val="00986E27"/>
    <w:rsid w:val="0098763F"/>
    <w:rsid w:val="00987DA4"/>
    <w:rsid w:val="00990107"/>
    <w:rsid w:val="0099091A"/>
    <w:rsid w:val="00990A6A"/>
    <w:rsid w:val="009912C8"/>
    <w:rsid w:val="00991625"/>
    <w:rsid w:val="0099213A"/>
    <w:rsid w:val="009924B3"/>
    <w:rsid w:val="00992A94"/>
    <w:rsid w:val="00992AC5"/>
    <w:rsid w:val="00993492"/>
    <w:rsid w:val="00993DA4"/>
    <w:rsid w:val="00993FBD"/>
    <w:rsid w:val="009942A5"/>
    <w:rsid w:val="00997292"/>
    <w:rsid w:val="009972A0"/>
    <w:rsid w:val="009A0096"/>
    <w:rsid w:val="009A0649"/>
    <w:rsid w:val="009A0DC3"/>
    <w:rsid w:val="009A167A"/>
    <w:rsid w:val="009A19ED"/>
    <w:rsid w:val="009A1E4D"/>
    <w:rsid w:val="009A2C47"/>
    <w:rsid w:val="009A2E9C"/>
    <w:rsid w:val="009A2F19"/>
    <w:rsid w:val="009A38BD"/>
    <w:rsid w:val="009A39A3"/>
    <w:rsid w:val="009A3DDA"/>
    <w:rsid w:val="009A3FA6"/>
    <w:rsid w:val="009A4C66"/>
    <w:rsid w:val="009A5810"/>
    <w:rsid w:val="009A5C48"/>
    <w:rsid w:val="009A647E"/>
    <w:rsid w:val="009A6A6A"/>
    <w:rsid w:val="009A6DFE"/>
    <w:rsid w:val="009A6F2E"/>
    <w:rsid w:val="009A6F35"/>
    <w:rsid w:val="009A702F"/>
    <w:rsid w:val="009A71BB"/>
    <w:rsid w:val="009A7642"/>
    <w:rsid w:val="009A769A"/>
    <w:rsid w:val="009A7B65"/>
    <w:rsid w:val="009A7F00"/>
    <w:rsid w:val="009B040B"/>
    <w:rsid w:val="009B0FF7"/>
    <w:rsid w:val="009B12EF"/>
    <w:rsid w:val="009B1AC5"/>
    <w:rsid w:val="009B1F1E"/>
    <w:rsid w:val="009B1F67"/>
    <w:rsid w:val="009B229D"/>
    <w:rsid w:val="009B2A4C"/>
    <w:rsid w:val="009B35A4"/>
    <w:rsid w:val="009B3673"/>
    <w:rsid w:val="009B3702"/>
    <w:rsid w:val="009B421D"/>
    <w:rsid w:val="009B4650"/>
    <w:rsid w:val="009B471B"/>
    <w:rsid w:val="009B4B85"/>
    <w:rsid w:val="009B570F"/>
    <w:rsid w:val="009B61C5"/>
    <w:rsid w:val="009B6255"/>
    <w:rsid w:val="009B66F9"/>
    <w:rsid w:val="009B67CF"/>
    <w:rsid w:val="009B73BE"/>
    <w:rsid w:val="009B781A"/>
    <w:rsid w:val="009C0466"/>
    <w:rsid w:val="009C08FA"/>
    <w:rsid w:val="009C0ED4"/>
    <w:rsid w:val="009C2625"/>
    <w:rsid w:val="009C2DE1"/>
    <w:rsid w:val="009C3C4F"/>
    <w:rsid w:val="009C48C0"/>
    <w:rsid w:val="009C4A8B"/>
    <w:rsid w:val="009C5458"/>
    <w:rsid w:val="009C616B"/>
    <w:rsid w:val="009C6CB7"/>
    <w:rsid w:val="009D0884"/>
    <w:rsid w:val="009D0CAD"/>
    <w:rsid w:val="009D0DC4"/>
    <w:rsid w:val="009D0FE7"/>
    <w:rsid w:val="009D173F"/>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83"/>
    <w:rsid w:val="009D69F9"/>
    <w:rsid w:val="009D6B3E"/>
    <w:rsid w:val="009D6B7C"/>
    <w:rsid w:val="009D6FD5"/>
    <w:rsid w:val="009D76A6"/>
    <w:rsid w:val="009E03A6"/>
    <w:rsid w:val="009E0459"/>
    <w:rsid w:val="009E0C47"/>
    <w:rsid w:val="009E1CCC"/>
    <w:rsid w:val="009E2599"/>
    <w:rsid w:val="009E2B1F"/>
    <w:rsid w:val="009E2C8F"/>
    <w:rsid w:val="009E2E6C"/>
    <w:rsid w:val="009E3BB9"/>
    <w:rsid w:val="009E3F70"/>
    <w:rsid w:val="009E4675"/>
    <w:rsid w:val="009E4742"/>
    <w:rsid w:val="009E5087"/>
    <w:rsid w:val="009E56AE"/>
    <w:rsid w:val="009E5C25"/>
    <w:rsid w:val="009E60EE"/>
    <w:rsid w:val="009E64C7"/>
    <w:rsid w:val="009E672D"/>
    <w:rsid w:val="009E6F55"/>
    <w:rsid w:val="009E6F68"/>
    <w:rsid w:val="009E73B6"/>
    <w:rsid w:val="009E79B4"/>
    <w:rsid w:val="009F0671"/>
    <w:rsid w:val="009F0B64"/>
    <w:rsid w:val="009F101F"/>
    <w:rsid w:val="009F10E1"/>
    <w:rsid w:val="009F1182"/>
    <w:rsid w:val="009F202A"/>
    <w:rsid w:val="009F23D3"/>
    <w:rsid w:val="009F240B"/>
    <w:rsid w:val="009F2AF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7035"/>
    <w:rsid w:val="009F782A"/>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2695"/>
    <w:rsid w:val="00A12DBA"/>
    <w:rsid w:val="00A12DDF"/>
    <w:rsid w:val="00A13134"/>
    <w:rsid w:val="00A132F8"/>
    <w:rsid w:val="00A1441A"/>
    <w:rsid w:val="00A1465D"/>
    <w:rsid w:val="00A14EB9"/>
    <w:rsid w:val="00A14EEA"/>
    <w:rsid w:val="00A15615"/>
    <w:rsid w:val="00A15880"/>
    <w:rsid w:val="00A1686F"/>
    <w:rsid w:val="00A16D8C"/>
    <w:rsid w:val="00A17363"/>
    <w:rsid w:val="00A17516"/>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928"/>
    <w:rsid w:val="00A27A21"/>
    <w:rsid w:val="00A30403"/>
    <w:rsid w:val="00A31E8B"/>
    <w:rsid w:val="00A31F59"/>
    <w:rsid w:val="00A32C0F"/>
    <w:rsid w:val="00A333D1"/>
    <w:rsid w:val="00A33999"/>
    <w:rsid w:val="00A33B53"/>
    <w:rsid w:val="00A3413F"/>
    <w:rsid w:val="00A34765"/>
    <w:rsid w:val="00A34B70"/>
    <w:rsid w:val="00A34CBC"/>
    <w:rsid w:val="00A35940"/>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50590"/>
    <w:rsid w:val="00A511FD"/>
    <w:rsid w:val="00A516BD"/>
    <w:rsid w:val="00A525DF"/>
    <w:rsid w:val="00A52755"/>
    <w:rsid w:val="00A529C6"/>
    <w:rsid w:val="00A53036"/>
    <w:rsid w:val="00A53330"/>
    <w:rsid w:val="00A534D0"/>
    <w:rsid w:val="00A536E7"/>
    <w:rsid w:val="00A55150"/>
    <w:rsid w:val="00A555F7"/>
    <w:rsid w:val="00A559E8"/>
    <w:rsid w:val="00A56352"/>
    <w:rsid w:val="00A56563"/>
    <w:rsid w:val="00A56938"/>
    <w:rsid w:val="00A56A20"/>
    <w:rsid w:val="00A56CED"/>
    <w:rsid w:val="00A5790C"/>
    <w:rsid w:val="00A602F0"/>
    <w:rsid w:val="00A60BA7"/>
    <w:rsid w:val="00A60F8E"/>
    <w:rsid w:val="00A6146C"/>
    <w:rsid w:val="00A61E3E"/>
    <w:rsid w:val="00A627ED"/>
    <w:rsid w:val="00A6280F"/>
    <w:rsid w:val="00A62820"/>
    <w:rsid w:val="00A62E35"/>
    <w:rsid w:val="00A63307"/>
    <w:rsid w:val="00A6347F"/>
    <w:rsid w:val="00A639A3"/>
    <w:rsid w:val="00A639CA"/>
    <w:rsid w:val="00A64183"/>
    <w:rsid w:val="00A64527"/>
    <w:rsid w:val="00A65D3E"/>
    <w:rsid w:val="00A66DC9"/>
    <w:rsid w:val="00A67203"/>
    <w:rsid w:val="00A6724A"/>
    <w:rsid w:val="00A672D2"/>
    <w:rsid w:val="00A67471"/>
    <w:rsid w:val="00A67B34"/>
    <w:rsid w:val="00A67D3F"/>
    <w:rsid w:val="00A705D7"/>
    <w:rsid w:val="00A706AC"/>
    <w:rsid w:val="00A7151D"/>
    <w:rsid w:val="00A71CCC"/>
    <w:rsid w:val="00A72325"/>
    <w:rsid w:val="00A72D60"/>
    <w:rsid w:val="00A72E0A"/>
    <w:rsid w:val="00A72E65"/>
    <w:rsid w:val="00A72F1F"/>
    <w:rsid w:val="00A733ED"/>
    <w:rsid w:val="00A73AD4"/>
    <w:rsid w:val="00A73C71"/>
    <w:rsid w:val="00A7475B"/>
    <w:rsid w:val="00A74768"/>
    <w:rsid w:val="00A7504B"/>
    <w:rsid w:val="00A753CA"/>
    <w:rsid w:val="00A75584"/>
    <w:rsid w:val="00A75F83"/>
    <w:rsid w:val="00A76679"/>
    <w:rsid w:val="00A7694C"/>
    <w:rsid w:val="00A76F71"/>
    <w:rsid w:val="00A776C1"/>
    <w:rsid w:val="00A7793F"/>
    <w:rsid w:val="00A802C2"/>
    <w:rsid w:val="00A8058B"/>
    <w:rsid w:val="00A817D8"/>
    <w:rsid w:val="00A81ACF"/>
    <w:rsid w:val="00A81FD1"/>
    <w:rsid w:val="00A821EB"/>
    <w:rsid w:val="00A83872"/>
    <w:rsid w:val="00A84162"/>
    <w:rsid w:val="00A84E90"/>
    <w:rsid w:val="00A85E07"/>
    <w:rsid w:val="00A860E1"/>
    <w:rsid w:val="00A86B27"/>
    <w:rsid w:val="00A87161"/>
    <w:rsid w:val="00A87193"/>
    <w:rsid w:val="00A877B7"/>
    <w:rsid w:val="00A90112"/>
    <w:rsid w:val="00A904CA"/>
    <w:rsid w:val="00A90DA8"/>
    <w:rsid w:val="00A90E53"/>
    <w:rsid w:val="00A91030"/>
    <w:rsid w:val="00A913BC"/>
    <w:rsid w:val="00A91F70"/>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2F1"/>
    <w:rsid w:val="00AA1E98"/>
    <w:rsid w:val="00AA2401"/>
    <w:rsid w:val="00AA2451"/>
    <w:rsid w:val="00AA2AE0"/>
    <w:rsid w:val="00AA2FF9"/>
    <w:rsid w:val="00AA33D9"/>
    <w:rsid w:val="00AA36C4"/>
    <w:rsid w:val="00AA4553"/>
    <w:rsid w:val="00AA484B"/>
    <w:rsid w:val="00AA5F23"/>
    <w:rsid w:val="00AA5FD7"/>
    <w:rsid w:val="00AA673B"/>
    <w:rsid w:val="00AA6F78"/>
    <w:rsid w:val="00AA753F"/>
    <w:rsid w:val="00AA776E"/>
    <w:rsid w:val="00AA7799"/>
    <w:rsid w:val="00AA7B4C"/>
    <w:rsid w:val="00AB02FB"/>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6CB0"/>
    <w:rsid w:val="00AB6D30"/>
    <w:rsid w:val="00AB7AB1"/>
    <w:rsid w:val="00AB7E28"/>
    <w:rsid w:val="00AC0302"/>
    <w:rsid w:val="00AC1034"/>
    <w:rsid w:val="00AC12DF"/>
    <w:rsid w:val="00AC2008"/>
    <w:rsid w:val="00AC2346"/>
    <w:rsid w:val="00AC2415"/>
    <w:rsid w:val="00AC27C5"/>
    <w:rsid w:val="00AC292D"/>
    <w:rsid w:val="00AC2A4C"/>
    <w:rsid w:val="00AC2A5B"/>
    <w:rsid w:val="00AC2D78"/>
    <w:rsid w:val="00AC2E8A"/>
    <w:rsid w:val="00AC440F"/>
    <w:rsid w:val="00AC4AA7"/>
    <w:rsid w:val="00AC4B0C"/>
    <w:rsid w:val="00AC4B1E"/>
    <w:rsid w:val="00AC572C"/>
    <w:rsid w:val="00AD0C89"/>
    <w:rsid w:val="00AD25D1"/>
    <w:rsid w:val="00AD2A54"/>
    <w:rsid w:val="00AD4756"/>
    <w:rsid w:val="00AD4A51"/>
    <w:rsid w:val="00AD5320"/>
    <w:rsid w:val="00AD5F18"/>
    <w:rsid w:val="00AD6157"/>
    <w:rsid w:val="00AD66B4"/>
    <w:rsid w:val="00AD70AC"/>
    <w:rsid w:val="00AD70B3"/>
    <w:rsid w:val="00AD735F"/>
    <w:rsid w:val="00AD7924"/>
    <w:rsid w:val="00AE07D1"/>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5AA"/>
    <w:rsid w:val="00AE6DB9"/>
    <w:rsid w:val="00AE7757"/>
    <w:rsid w:val="00AF08AB"/>
    <w:rsid w:val="00AF0D5A"/>
    <w:rsid w:val="00AF1388"/>
    <w:rsid w:val="00AF1CA7"/>
    <w:rsid w:val="00AF1FB8"/>
    <w:rsid w:val="00AF25D8"/>
    <w:rsid w:val="00AF2C20"/>
    <w:rsid w:val="00AF2EC7"/>
    <w:rsid w:val="00AF31D3"/>
    <w:rsid w:val="00AF37C8"/>
    <w:rsid w:val="00AF3905"/>
    <w:rsid w:val="00AF3A46"/>
    <w:rsid w:val="00AF45AC"/>
    <w:rsid w:val="00AF46F4"/>
    <w:rsid w:val="00AF5453"/>
    <w:rsid w:val="00AF597B"/>
    <w:rsid w:val="00AF628B"/>
    <w:rsid w:val="00AF6A84"/>
    <w:rsid w:val="00AF75E1"/>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70D"/>
    <w:rsid w:val="00B16A58"/>
    <w:rsid w:val="00B173AC"/>
    <w:rsid w:val="00B17507"/>
    <w:rsid w:val="00B17CAB"/>
    <w:rsid w:val="00B200E9"/>
    <w:rsid w:val="00B20E1F"/>
    <w:rsid w:val="00B20F7C"/>
    <w:rsid w:val="00B2232C"/>
    <w:rsid w:val="00B22616"/>
    <w:rsid w:val="00B22B8E"/>
    <w:rsid w:val="00B22BD3"/>
    <w:rsid w:val="00B23396"/>
    <w:rsid w:val="00B2367A"/>
    <w:rsid w:val="00B240DA"/>
    <w:rsid w:val="00B25712"/>
    <w:rsid w:val="00B2573E"/>
    <w:rsid w:val="00B2575B"/>
    <w:rsid w:val="00B257FC"/>
    <w:rsid w:val="00B258AD"/>
    <w:rsid w:val="00B263A9"/>
    <w:rsid w:val="00B26A3A"/>
    <w:rsid w:val="00B26C97"/>
    <w:rsid w:val="00B26C9A"/>
    <w:rsid w:val="00B272F5"/>
    <w:rsid w:val="00B276FA"/>
    <w:rsid w:val="00B27B60"/>
    <w:rsid w:val="00B3073F"/>
    <w:rsid w:val="00B31D58"/>
    <w:rsid w:val="00B31D6B"/>
    <w:rsid w:val="00B32014"/>
    <w:rsid w:val="00B32112"/>
    <w:rsid w:val="00B326FA"/>
    <w:rsid w:val="00B32B10"/>
    <w:rsid w:val="00B33714"/>
    <w:rsid w:val="00B351AD"/>
    <w:rsid w:val="00B35504"/>
    <w:rsid w:val="00B35CFD"/>
    <w:rsid w:val="00B35E78"/>
    <w:rsid w:val="00B3651D"/>
    <w:rsid w:val="00B36997"/>
    <w:rsid w:val="00B36A55"/>
    <w:rsid w:val="00B36B91"/>
    <w:rsid w:val="00B36CDB"/>
    <w:rsid w:val="00B36FCC"/>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79D"/>
    <w:rsid w:val="00B47DCE"/>
    <w:rsid w:val="00B50D5C"/>
    <w:rsid w:val="00B51119"/>
    <w:rsid w:val="00B522B4"/>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7DC"/>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2C4E"/>
    <w:rsid w:val="00B73346"/>
    <w:rsid w:val="00B73704"/>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962"/>
    <w:rsid w:val="00B83DA3"/>
    <w:rsid w:val="00B843E8"/>
    <w:rsid w:val="00B847F5"/>
    <w:rsid w:val="00B85332"/>
    <w:rsid w:val="00B85B2B"/>
    <w:rsid w:val="00B85F81"/>
    <w:rsid w:val="00B863CB"/>
    <w:rsid w:val="00B864F3"/>
    <w:rsid w:val="00B86890"/>
    <w:rsid w:val="00B86D13"/>
    <w:rsid w:val="00B87898"/>
    <w:rsid w:val="00B8798E"/>
    <w:rsid w:val="00B87CEB"/>
    <w:rsid w:val="00B90749"/>
    <w:rsid w:val="00B90D10"/>
    <w:rsid w:val="00B91B66"/>
    <w:rsid w:val="00B92690"/>
    <w:rsid w:val="00B92E9D"/>
    <w:rsid w:val="00B930C7"/>
    <w:rsid w:val="00B9350E"/>
    <w:rsid w:val="00B93623"/>
    <w:rsid w:val="00B93AA2"/>
    <w:rsid w:val="00B94151"/>
    <w:rsid w:val="00B950A1"/>
    <w:rsid w:val="00B95D17"/>
    <w:rsid w:val="00B96217"/>
    <w:rsid w:val="00B96E7C"/>
    <w:rsid w:val="00B97269"/>
    <w:rsid w:val="00B97280"/>
    <w:rsid w:val="00B97552"/>
    <w:rsid w:val="00B97659"/>
    <w:rsid w:val="00B97C4F"/>
    <w:rsid w:val="00B97EDA"/>
    <w:rsid w:val="00BA041A"/>
    <w:rsid w:val="00BA0A36"/>
    <w:rsid w:val="00BA2288"/>
    <w:rsid w:val="00BA2991"/>
    <w:rsid w:val="00BA2F74"/>
    <w:rsid w:val="00BA35AB"/>
    <w:rsid w:val="00BA3EC7"/>
    <w:rsid w:val="00BA40B6"/>
    <w:rsid w:val="00BA4C2B"/>
    <w:rsid w:val="00BA4C7F"/>
    <w:rsid w:val="00BA4D3C"/>
    <w:rsid w:val="00BA54C3"/>
    <w:rsid w:val="00BA5549"/>
    <w:rsid w:val="00BA5AA9"/>
    <w:rsid w:val="00BA60F9"/>
    <w:rsid w:val="00BA6A00"/>
    <w:rsid w:val="00BA7186"/>
    <w:rsid w:val="00BA73E2"/>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C07D6"/>
    <w:rsid w:val="00BC09ED"/>
    <w:rsid w:val="00BC1122"/>
    <w:rsid w:val="00BC16E8"/>
    <w:rsid w:val="00BC205C"/>
    <w:rsid w:val="00BC3589"/>
    <w:rsid w:val="00BC385D"/>
    <w:rsid w:val="00BC3E37"/>
    <w:rsid w:val="00BC492D"/>
    <w:rsid w:val="00BC5110"/>
    <w:rsid w:val="00BC6162"/>
    <w:rsid w:val="00BC64CA"/>
    <w:rsid w:val="00BC6614"/>
    <w:rsid w:val="00BC6C3A"/>
    <w:rsid w:val="00BC6D96"/>
    <w:rsid w:val="00BD00ED"/>
    <w:rsid w:val="00BD162C"/>
    <w:rsid w:val="00BD1EB7"/>
    <w:rsid w:val="00BD2055"/>
    <w:rsid w:val="00BD2261"/>
    <w:rsid w:val="00BD25CB"/>
    <w:rsid w:val="00BD3285"/>
    <w:rsid w:val="00BD35D2"/>
    <w:rsid w:val="00BD3874"/>
    <w:rsid w:val="00BD3D68"/>
    <w:rsid w:val="00BD4017"/>
    <w:rsid w:val="00BD431B"/>
    <w:rsid w:val="00BD4BE0"/>
    <w:rsid w:val="00BD5044"/>
    <w:rsid w:val="00BD5223"/>
    <w:rsid w:val="00BD56F1"/>
    <w:rsid w:val="00BD5A79"/>
    <w:rsid w:val="00BD5F14"/>
    <w:rsid w:val="00BD6D10"/>
    <w:rsid w:val="00BD7597"/>
    <w:rsid w:val="00BD7894"/>
    <w:rsid w:val="00BD7995"/>
    <w:rsid w:val="00BD7DCC"/>
    <w:rsid w:val="00BE04DB"/>
    <w:rsid w:val="00BE069C"/>
    <w:rsid w:val="00BE069D"/>
    <w:rsid w:val="00BE0F3C"/>
    <w:rsid w:val="00BE11C6"/>
    <w:rsid w:val="00BE13F0"/>
    <w:rsid w:val="00BE1AF0"/>
    <w:rsid w:val="00BE1C7E"/>
    <w:rsid w:val="00BE1EA0"/>
    <w:rsid w:val="00BE2D9F"/>
    <w:rsid w:val="00BE3256"/>
    <w:rsid w:val="00BE3EE8"/>
    <w:rsid w:val="00BE4372"/>
    <w:rsid w:val="00BE46D5"/>
    <w:rsid w:val="00BE46EC"/>
    <w:rsid w:val="00BE57A3"/>
    <w:rsid w:val="00BE640A"/>
    <w:rsid w:val="00BE6BA8"/>
    <w:rsid w:val="00BF0179"/>
    <w:rsid w:val="00BF0FD3"/>
    <w:rsid w:val="00BF17C4"/>
    <w:rsid w:val="00BF1A2F"/>
    <w:rsid w:val="00BF263F"/>
    <w:rsid w:val="00BF26C1"/>
    <w:rsid w:val="00BF286D"/>
    <w:rsid w:val="00BF3545"/>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550F"/>
    <w:rsid w:val="00C05696"/>
    <w:rsid w:val="00C0598C"/>
    <w:rsid w:val="00C06055"/>
    <w:rsid w:val="00C06180"/>
    <w:rsid w:val="00C0647E"/>
    <w:rsid w:val="00C06D1C"/>
    <w:rsid w:val="00C06E6D"/>
    <w:rsid w:val="00C07031"/>
    <w:rsid w:val="00C078A9"/>
    <w:rsid w:val="00C07934"/>
    <w:rsid w:val="00C07BB6"/>
    <w:rsid w:val="00C07C8D"/>
    <w:rsid w:val="00C07FE9"/>
    <w:rsid w:val="00C10680"/>
    <w:rsid w:val="00C10732"/>
    <w:rsid w:val="00C1109F"/>
    <w:rsid w:val="00C11F91"/>
    <w:rsid w:val="00C128D3"/>
    <w:rsid w:val="00C12FE9"/>
    <w:rsid w:val="00C137A3"/>
    <w:rsid w:val="00C139BC"/>
    <w:rsid w:val="00C15095"/>
    <w:rsid w:val="00C15172"/>
    <w:rsid w:val="00C158A4"/>
    <w:rsid w:val="00C171CC"/>
    <w:rsid w:val="00C17310"/>
    <w:rsid w:val="00C204DA"/>
    <w:rsid w:val="00C20866"/>
    <w:rsid w:val="00C20901"/>
    <w:rsid w:val="00C212E3"/>
    <w:rsid w:val="00C21889"/>
    <w:rsid w:val="00C21FF3"/>
    <w:rsid w:val="00C228F3"/>
    <w:rsid w:val="00C22B84"/>
    <w:rsid w:val="00C22C1B"/>
    <w:rsid w:val="00C22EBB"/>
    <w:rsid w:val="00C239B9"/>
    <w:rsid w:val="00C2447A"/>
    <w:rsid w:val="00C249B5"/>
    <w:rsid w:val="00C27320"/>
    <w:rsid w:val="00C27430"/>
    <w:rsid w:val="00C2751D"/>
    <w:rsid w:val="00C305C6"/>
    <w:rsid w:val="00C30FEA"/>
    <w:rsid w:val="00C316DD"/>
    <w:rsid w:val="00C31FD9"/>
    <w:rsid w:val="00C32361"/>
    <w:rsid w:val="00C326D9"/>
    <w:rsid w:val="00C32AB9"/>
    <w:rsid w:val="00C33C85"/>
    <w:rsid w:val="00C34B2D"/>
    <w:rsid w:val="00C34CF9"/>
    <w:rsid w:val="00C34D89"/>
    <w:rsid w:val="00C35A60"/>
    <w:rsid w:val="00C35E4D"/>
    <w:rsid w:val="00C36137"/>
    <w:rsid w:val="00C369A2"/>
    <w:rsid w:val="00C36AB6"/>
    <w:rsid w:val="00C379A0"/>
    <w:rsid w:val="00C400A6"/>
    <w:rsid w:val="00C401A4"/>
    <w:rsid w:val="00C4050E"/>
    <w:rsid w:val="00C40CAA"/>
    <w:rsid w:val="00C40CF2"/>
    <w:rsid w:val="00C4153C"/>
    <w:rsid w:val="00C421B5"/>
    <w:rsid w:val="00C4224A"/>
    <w:rsid w:val="00C42DFE"/>
    <w:rsid w:val="00C434AC"/>
    <w:rsid w:val="00C435F3"/>
    <w:rsid w:val="00C44546"/>
    <w:rsid w:val="00C4492E"/>
    <w:rsid w:val="00C449ED"/>
    <w:rsid w:val="00C44D4D"/>
    <w:rsid w:val="00C451E1"/>
    <w:rsid w:val="00C452AE"/>
    <w:rsid w:val="00C45A5D"/>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3A3"/>
    <w:rsid w:val="00C534EE"/>
    <w:rsid w:val="00C537CF"/>
    <w:rsid w:val="00C53905"/>
    <w:rsid w:val="00C53E82"/>
    <w:rsid w:val="00C54480"/>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C3"/>
    <w:rsid w:val="00C611FD"/>
    <w:rsid w:val="00C61FF9"/>
    <w:rsid w:val="00C64222"/>
    <w:rsid w:val="00C644C2"/>
    <w:rsid w:val="00C65F65"/>
    <w:rsid w:val="00C6602E"/>
    <w:rsid w:val="00C661D5"/>
    <w:rsid w:val="00C6663E"/>
    <w:rsid w:val="00C66789"/>
    <w:rsid w:val="00C700F7"/>
    <w:rsid w:val="00C7044B"/>
    <w:rsid w:val="00C7080B"/>
    <w:rsid w:val="00C715D0"/>
    <w:rsid w:val="00C71FE4"/>
    <w:rsid w:val="00C72305"/>
    <w:rsid w:val="00C7239E"/>
    <w:rsid w:val="00C72881"/>
    <w:rsid w:val="00C72FA9"/>
    <w:rsid w:val="00C732AA"/>
    <w:rsid w:val="00C73877"/>
    <w:rsid w:val="00C7482C"/>
    <w:rsid w:val="00C75345"/>
    <w:rsid w:val="00C7708C"/>
    <w:rsid w:val="00C77939"/>
    <w:rsid w:val="00C80025"/>
    <w:rsid w:val="00C80440"/>
    <w:rsid w:val="00C804B6"/>
    <w:rsid w:val="00C8156F"/>
    <w:rsid w:val="00C817C9"/>
    <w:rsid w:val="00C81E11"/>
    <w:rsid w:val="00C82204"/>
    <w:rsid w:val="00C82B00"/>
    <w:rsid w:val="00C83729"/>
    <w:rsid w:val="00C83932"/>
    <w:rsid w:val="00C83D55"/>
    <w:rsid w:val="00C846C6"/>
    <w:rsid w:val="00C849AC"/>
    <w:rsid w:val="00C84B1E"/>
    <w:rsid w:val="00C862F4"/>
    <w:rsid w:val="00C86BA9"/>
    <w:rsid w:val="00C8740E"/>
    <w:rsid w:val="00C87B55"/>
    <w:rsid w:val="00C9016A"/>
    <w:rsid w:val="00C90825"/>
    <w:rsid w:val="00C9089C"/>
    <w:rsid w:val="00C9184F"/>
    <w:rsid w:val="00C91B85"/>
    <w:rsid w:val="00C93127"/>
    <w:rsid w:val="00C941EE"/>
    <w:rsid w:val="00C9420F"/>
    <w:rsid w:val="00C94C39"/>
    <w:rsid w:val="00C94C67"/>
    <w:rsid w:val="00C950D4"/>
    <w:rsid w:val="00C95767"/>
    <w:rsid w:val="00C96E1A"/>
    <w:rsid w:val="00C97A70"/>
    <w:rsid w:val="00C97CA0"/>
    <w:rsid w:val="00C97DD1"/>
    <w:rsid w:val="00CA0107"/>
    <w:rsid w:val="00CA0D53"/>
    <w:rsid w:val="00CA11F5"/>
    <w:rsid w:val="00CA1685"/>
    <w:rsid w:val="00CA177A"/>
    <w:rsid w:val="00CA252C"/>
    <w:rsid w:val="00CA2D83"/>
    <w:rsid w:val="00CA2E2D"/>
    <w:rsid w:val="00CA2E2F"/>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8A0"/>
    <w:rsid w:val="00CB30A9"/>
    <w:rsid w:val="00CB3267"/>
    <w:rsid w:val="00CB33D5"/>
    <w:rsid w:val="00CB37A4"/>
    <w:rsid w:val="00CB3852"/>
    <w:rsid w:val="00CB636A"/>
    <w:rsid w:val="00CB6756"/>
    <w:rsid w:val="00CB76E1"/>
    <w:rsid w:val="00CC0026"/>
    <w:rsid w:val="00CC008F"/>
    <w:rsid w:val="00CC0671"/>
    <w:rsid w:val="00CC0AE3"/>
    <w:rsid w:val="00CC1494"/>
    <w:rsid w:val="00CC1897"/>
    <w:rsid w:val="00CC2017"/>
    <w:rsid w:val="00CC20E7"/>
    <w:rsid w:val="00CC21C5"/>
    <w:rsid w:val="00CC2945"/>
    <w:rsid w:val="00CC29A2"/>
    <w:rsid w:val="00CC35CF"/>
    <w:rsid w:val="00CC4093"/>
    <w:rsid w:val="00CC45D0"/>
    <w:rsid w:val="00CC480F"/>
    <w:rsid w:val="00CC62E4"/>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BB2"/>
    <w:rsid w:val="00CD6F1F"/>
    <w:rsid w:val="00CD736C"/>
    <w:rsid w:val="00CE05B5"/>
    <w:rsid w:val="00CE0C78"/>
    <w:rsid w:val="00CE0D17"/>
    <w:rsid w:val="00CE1AFD"/>
    <w:rsid w:val="00CE2A4F"/>
    <w:rsid w:val="00CE2E79"/>
    <w:rsid w:val="00CE326F"/>
    <w:rsid w:val="00CE34C0"/>
    <w:rsid w:val="00CE398F"/>
    <w:rsid w:val="00CE3E7C"/>
    <w:rsid w:val="00CE4A5E"/>
    <w:rsid w:val="00CE53EB"/>
    <w:rsid w:val="00CE6603"/>
    <w:rsid w:val="00CE6ACD"/>
    <w:rsid w:val="00CF01E0"/>
    <w:rsid w:val="00CF086A"/>
    <w:rsid w:val="00CF0BB6"/>
    <w:rsid w:val="00CF0F44"/>
    <w:rsid w:val="00CF13D6"/>
    <w:rsid w:val="00CF2800"/>
    <w:rsid w:val="00CF2861"/>
    <w:rsid w:val="00CF2D74"/>
    <w:rsid w:val="00CF4777"/>
    <w:rsid w:val="00CF49CC"/>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8EA"/>
    <w:rsid w:val="00D04634"/>
    <w:rsid w:val="00D0467E"/>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AD5"/>
    <w:rsid w:val="00D11DAD"/>
    <w:rsid w:val="00D131F1"/>
    <w:rsid w:val="00D133A4"/>
    <w:rsid w:val="00D135B3"/>
    <w:rsid w:val="00D13705"/>
    <w:rsid w:val="00D14252"/>
    <w:rsid w:val="00D14400"/>
    <w:rsid w:val="00D149EC"/>
    <w:rsid w:val="00D14B2B"/>
    <w:rsid w:val="00D14FAE"/>
    <w:rsid w:val="00D1583B"/>
    <w:rsid w:val="00D15A90"/>
    <w:rsid w:val="00D1672B"/>
    <w:rsid w:val="00D17D23"/>
    <w:rsid w:val="00D2084F"/>
    <w:rsid w:val="00D20EAF"/>
    <w:rsid w:val="00D2206D"/>
    <w:rsid w:val="00D22780"/>
    <w:rsid w:val="00D22A39"/>
    <w:rsid w:val="00D2324A"/>
    <w:rsid w:val="00D2416A"/>
    <w:rsid w:val="00D24212"/>
    <w:rsid w:val="00D242EB"/>
    <w:rsid w:val="00D24417"/>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BFA"/>
    <w:rsid w:val="00D32CC0"/>
    <w:rsid w:val="00D32E41"/>
    <w:rsid w:val="00D33D15"/>
    <w:rsid w:val="00D33F0F"/>
    <w:rsid w:val="00D33FD7"/>
    <w:rsid w:val="00D346D9"/>
    <w:rsid w:val="00D34E15"/>
    <w:rsid w:val="00D35F5C"/>
    <w:rsid w:val="00D36C5C"/>
    <w:rsid w:val="00D379A1"/>
    <w:rsid w:val="00D37D64"/>
    <w:rsid w:val="00D40403"/>
    <w:rsid w:val="00D40D5D"/>
    <w:rsid w:val="00D40DC8"/>
    <w:rsid w:val="00D41EDB"/>
    <w:rsid w:val="00D42240"/>
    <w:rsid w:val="00D42249"/>
    <w:rsid w:val="00D42383"/>
    <w:rsid w:val="00D42549"/>
    <w:rsid w:val="00D427B7"/>
    <w:rsid w:val="00D4298A"/>
    <w:rsid w:val="00D42B6F"/>
    <w:rsid w:val="00D455EF"/>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2465"/>
    <w:rsid w:val="00D52490"/>
    <w:rsid w:val="00D52804"/>
    <w:rsid w:val="00D53227"/>
    <w:rsid w:val="00D533AB"/>
    <w:rsid w:val="00D5398C"/>
    <w:rsid w:val="00D53F0A"/>
    <w:rsid w:val="00D54265"/>
    <w:rsid w:val="00D546BA"/>
    <w:rsid w:val="00D54CB1"/>
    <w:rsid w:val="00D55226"/>
    <w:rsid w:val="00D55484"/>
    <w:rsid w:val="00D55815"/>
    <w:rsid w:val="00D56077"/>
    <w:rsid w:val="00D56160"/>
    <w:rsid w:val="00D56F56"/>
    <w:rsid w:val="00D57173"/>
    <w:rsid w:val="00D57AC7"/>
    <w:rsid w:val="00D60183"/>
    <w:rsid w:val="00D607AA"/>
    <w:rsid w:val="00D60D9D"/>
    <w:rsid w:val="00D611CA"/>
    <w:rsid w:val="00D613E5"/>
    <w:rsid w:val="00D616AB"/>
    <w:rsid w:val="00D61A3F"/>
    <w:rsid w:val="00D61B6A"/>
    <w:rsid w:val="00D61BBC"/>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515F"/>
    <w:rsid w:val="00D7519E"/>
    <w:rsid w:val="00D75554"/>
    <w:rsid w:val="00D7702B"/>
    <w:rsid w:val="00D77308"/>
    <w:rsid w:val="00D77383"/>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9F5"/>
    <w:rsid w:val="00D84FA2"/>
    <w:rsid w:val="00D85C2F"/>
    <w:rsid w:val="00D86214"/>
    <w:rsid w:val="00D86C8B"/>
    <w:rsid w:val="00D90DCD"/>
    <w:rsid w:val="00D9144F"/>
    <w:rsid w:val="00D91A37"/>
    <w:rsid w:val="00D91EC4"/>
    <w:rsid w:val="00D91FD0"/>
    <w:rsid w:val="00D92330"/>
    <w:rsid w:val="00D92C13"/>
    <w:rsid w:val="00D92E9C"/>
    <w:rsid w:val="00D937CD"/>
    <w:rsid w:val="00D94664"/>
    <w:rsid w:val="00D94A16"/>
    <w:rsid w:val="00D94BE5"/>
    <w:rsid w:val="00D94E65"/>
    <w:rsid w:val="00D9602E"/>
    <w:rsid w:val="00D96197"/>
    <w:rsid w:val="00D97395"/>
    <w:rsid w:val="00DA007D"/>
    <w:rsid w:val="00DA0E65"/>
    <w:rsid w:val="00DA14AA"/>
    <w:rsid w:val="00DA22DA"/>
    <w:rsid w:val="00DA246A"/>
    <w:rsid w:val="00DA2DAD"/>
    <w:rsid w:val="00DA3858"/>
    <w:rsid w:val="00DA3F29"/>
    <w:rsid w:val="00DA4DEA"/>
    <w:rsid w:val="00DA4EF0"/>
    <w:rsid w:val="00DA5216"/>
    <w:rsid w:val="00DA6155"/>
    <w:rsid w:val="00DB0AAB"/>
    <w:rsid w:val="00DB0B11"/>
    <w:rsid w:val="00DB22C7"/>
    <w:rsid w:val="00DB2353"/>
    <w:rsid w:val="00DB29B3"/>
    <w:rsid w:val="00DB2BC6"/>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607"/>
    <w:rsid w:val="00DC1E8C"/>
    <w:rsid w:val="00DC24BC"/>
    <w:rsid w:val="00DC28A3"/>
    <w:rsid w:val="00DC292B"/>
    <w:rsid w:val="00DC2C11"/>
    <w:rsid w:val="00DC2E53"/>
    <w:rsid w:val="00DC4425"/>
    <w:rsid w:val="00DC45E5"/>
    <w:rsid w:val="00DC467F"/>
    <w:rsid w:val="00DC5788"/>
    <w:rsid w:val="00DC5D16"/>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520"/>
    <w:rsid w:val="00DD39B5"/>
    <w:rsid w:val="00DD4445"/>
    <w:rsid w:val="00DD452B"/>
    <w:rsid w:val="00DD53F4"/>
    <w:rsid w:val="00DD56F9"/>
    <w:rsid w:val="00DD57DD"/>
    <w:rsid w:val="00DD6553"/>
    <w:rsid w:val="00DD6907"/>
    <w:rsid w:val="00DD6D13"/>
    <w:rsid w:val="00DD6E00"/>
    <w:rsid w:val="00DD7DA1"/>
    <w:rsid w:val="00DE2C64"/>
    <w:rsid w:val="00DE315F"/>
    <w:rsid w:val="00DE33BF"/>
    <w:rsid w:val="00DE3855"/>
    <w:rsid w:val="00DE40D5"/>
    <w:rsid w:val="00DE4475"/>
    <w:rsid w:val="00DE4A6F"/>
    <w:rsid w:val="00DE530B"/>
    <w:rsid w:val="00DE62E4"/>
    <w:rsid w:val="00DE66A5"/>
    <w:rsid w:val="00DE69AD"/>
    <w:rsid w:val="00DE6C55"/>
    <w:rsid w:val="00DE6C76"/>
    <w:rsid w:val="00DF0144"/>
    <w:rsid w:val="00DF0611"/>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47FE"/>
    <w:rsid w:val="00DF6296"/>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3C6"/>
    <w:rsid w:val="00E04851"/>
    <w:rsid w:val="00E04D8D"/>
    <w:rsid w:val="00E056C2"/>
    <w:rsid w:val="00E0668A"/>
    <w:rsid w:val="00E07476"/>
    <w:rsid w:val="00E07C4C"/>
    <w:rsid w:val="00E07D1C"/>
    <w:rsid w:val="00E07F02"/>
    <w:rsid w:val="00E07F6F"/>
    <w:rsid w:val="00E1037A"/>
    <w:rsid w:val="00E10435"/>
    <w:rsid w:val="00E1046A"/>
    <w:rsid w:val="00E10DEE"/>
    <w:rsid w:val="00E11145"/>
    <w:rsid w:val="00E128AA"/>
    <w:rsid w:val="00E12D55"/>
    <w:rsid w:val="00E12F8B"/>
    <w:rsid w:val="00E13294"/>
    <w:rsid w:val="00E143E7"/>
    <w:rsid w:val="00E14400"/>
    <w:rsid w:val="00E147BE"/>
    <w:rsid w:val="00E14BD1"/>
    <w:rsid w:val="00E15A2B"/>
    <w:rsid w:val="00E16672"/>
    <w:rsid w:val="00E1708C"/>
    <w:rsid w:val="00E17CA7"/>
    <w:rsid w:val="00E203AB"/>
    <w:rsid w:val="00E204A5"/>
    <w:rsid w:val="00E207E6"/>
    <w:rsid w:val="00E21269"/>
    <w:rsid w:val="00E21ECF"/>
    <w:rsid w:val="00E2224C"/>
    <w:rsid w:val="00E2234E"/>
    <w:rsid w:val="00E226BF"/>
    <w:rsid w:val="00E2290E"/>
    <w:rsid w:val="00E235F2"/>
    <w:rsid w:val="00E2381A"/>
    <w:rsid w:val="00E250F9"/>
    <w:rsid w:val="00E25143"/>
    <w:rsid w:val="00E25502"/>
    <w:rsid w:val="00E255E8"/>
    <w:rsid w:val="00E258D0"/>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507B"/>
    <w:rsid w:val="00E3586F"/>
    <w:rsid w:val="00E35971"/>
    <w:rsid w:val="00E36007"/>
    <w:rsid w:val="00E36410"/>
    <w:rsid w:val="00E36FAA"/>
    <w:rsid w:val="00E40405"/>
    <w:rsid w:val="00E40434"/>
    <w:rsid w:val="00E40FC7"/>
    <w:rsid w:val="00E4145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EC8"/>
    <w:rsid w:val="00E551F8"/>
    <w:rsid w:val="00E560FF"/>
    <w:rsid w:val="00E563FC"/>
    <w:rsid w:val="00E56909"/>
    <w:rsid w:val="00E56D6B"/>
    <w:rsid w:val="00E57DB1"/>
    <w:rsid w:val="00E60349"/>
    <w:rsid w:val="00E614B3"/>
    <w:rsid w:val="00E61F4F"/>
    <w:rsid w:val="00E62D74"/>
    <w:rsid w:val="00E631D4"/>
    <w:rsid w:val="00E632BA"/>
    <w:rsid w:val="00E636D7"/>
    <w:rsid w:val="00E63EB3"/>
    <w:rsid w:val="00E64CAE"/>
    <w:rsid w:val="00E65469"/>
    <w:rsid w:val="00E65961"/>
    <w:rsid w:val="00E65A2A"/>
    <w:rsid w:val="00E65FB5"/>
    <w:rsid w:val="00E660E8"/>
    <w:rsid w:val="00E661AA"/>
    <w:rsid w:val="00E666BE"/>
    <w:rsid w:val="00E66EA5"/>
    <w:rsid w:val="00E67074"/>
    <w:rsid w:val="00E6710A"/>
    <w:rsid w:val="00E67365"/>
    <w:rsid w:val="00E706E7"/>
    <w:rsid w:val="00E70E45"/>
    <w:rsid w:val="00E71790"/>
    <w:rsid w:val="00E71F48"/>
    <w:rsid w:val="00E72B2B"/>
    <w:rsid w:val="00E72B6E"/>
    <w:rsid w:val="00E72F09"/>
    <w:rsid w:val="00E73462"/>
    <w:rsid w:val="00E73578"/>
    <w:rsid w:val="00E738F3"/>
    <w:rsid w:val="00E73DA3"/>
    <w:rsid w:val="00E7456F"/>
    <w:rsid w:val="00E74A36"/>
    <w:rsid w:val="00E74CF6"/>
    <w:rsid w:val="00E75076"/>
    <w:rsid w:val="00E75380"/>
    <w:rsid w:val="00E76259"/>
    <w:rsid w:val="00E76688"/>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2E2"/>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38F"/>
    <w:rsid w:val="00E94E67"/>
    <w:rsid w:val="00E95FEF"/>
    <w:rsid w:val="00E96498"/>
    <w:rsid w:val="00EA0BBB"/>
    <w:rsid w:val="00EA136B"/>
    <w:rsid w:val="00EA1D43"/>
    <w:rsid w:val="00EA2249"/>
    <w:rsid w:val="00EA2E4F"/>
    <w:rsid w:val="00EA2FF9"/>
    <w:rsid w:val="00EA3088"/>
    <w:rsid w:val="00EA3221"/>
    <w:rsid w:val="00EA32EA"/>
    <w:rsid w:val="00EA3D6A"/>
    <w:rsid w:val="00EA44ED"/>
    <w:rsid w:val="00EA6D0F"/>
    <w:rsid w:val="00EA7326"/>
    <w:rsid w:val="00EA7500"/>
    <w:rsid w:val="00EA77E3"/>
    <w:rsid w:val="00EA79DA"/>
    <w:rsid w:val="00EB0B91"/>
    <w:rsid w:val="00EB1154"/>
    <w:rsid w:val="00EB145F"/>
    <w:rsid w:val="00EB1BCE"/>
    <w:rsid w:val="00EB2081"/>
    <w:rsid w:val="00EB20E8"/>
    <w:rsid w:val="00EB265B"/>
    <w:rsid w:val="00EB26E2"/>
    <w:rsid w:val="00EB39EE"/>
    <w:rsid w:val="00EB4135"/>
    <w:rsid w:val="00EB418F"/>
    <w:rsid w:val="00EB4B3A"/>
    <w:rsid w:val="00EB5512"/>
    <w:rsid w:val="00EB5744"/>
    <w:rsid w:val="00EB5F34"/>
    <w:rsid w:val="00EB7DBC"/>
    <w:rsid w:val="00EC0373"/>
    <w:rsid w:val="00EC0C09"/>
    <w:rsid w:val="00EC1112"/>
    <w:rsid w:val="00EC11FC"/>
    <w:rsid w:val="00EC129F"/>
    <w:rsid w:val="00EC280E"/>
    <w:rsid w:val="00EC3502"/>
    <w:rsid w:val="00EC3DDF"/>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1367"/>
    <w:rsid w:val="00ED162A"/>
    <w:rsid w:val="00ED1E91"/>
    <w:rsid w:val="00ED21B0"/>
    <w:rsid w:val="00ED2776"/>
    <w:rsid w:val="00ED3125"/>
    <w:rsid w:val="00ED3803"/>
    <w:rsid w:val="00ED3CBB"/>
    <w:rsid w:val="00ED3F55"/>
    <w:rsid w:val="00ED40A1"/>
    <w:rsid w:val="00ED4612"/>
    <w:rsid w:val="00ED4ECA"/>
    <w:rsid w:val="00ED527A"/>
    <w:rsid w:val="00ED5421"/>
    <w:rsid w:val="00ED5F4D"/>
    <w:rsid w:val="00ED61DE"/>
    <w:rsid w:val="00ED64EA"/>
    <w:rsid w:val="00ED6C94"/>
    <w:rsid w:val="00ED7468"/>
    <w:rsid w:val="00ED74BF"/>
    <w:rsid w:val="00EE0F79"/>
    <w:rsid w:val="00EE14AA"/>
    <w:rsid w:val="00EE247D"/>
    <w:rsid w:val="00EE24C0"/>
    <w:rsid w:val="00EE2599"/>
    <w:rsid w:val="00EE2754"/>
    <w:rsid w:val="00EE27A9"/>
    <w:rsid w:val="00EE2DCE"/>
    <w:rsid w:val="00EE35AC"/>
    <w:rsid w:val="00EE3B90"/>
    <w:rsid w:val="00EE3C9E"/>
    <w:rsid w:val="00EE3CBC"/>
    <w:rsid w:val="00EE4B1A"/>
    <w:rsid w:val="00EE53AA"/>
    <w:rsid w:val="00EE5405"/>
    <w:rsid w:val="00EE68AB"/>
    <w:rsid w:val="00EE6B8C"/>
    <w:rsid w:val="00EE7166"/>
    <w:rsid w:val="00EE7274"/>
    <w:rsid w:val="00EE7519"/>
    <w:rsid w:val="00EF04ED"/>
    <w:rsid w:val="00EF1210"/>
    <w:rsid w:val="00EF1326"/>
    <w:rsid w:val="00EF1F5F"/>
    <w:rsid w:val="00EF25BD"/>
    <w:rsid w:val="00EF2FF4"/>
    <w:rsid w:val="00EF3195"/>
    <w:rsid w:val="00EF36D0"/>
    <w:rsid w:val="00EF3D75"/>
    <w:rsid w:val="00EF43FD"/>
    <w:rsid w:val="00EF4741"/>
    <w:rsid w:val="00EF4B5F"/>
    <w:rsid w:val="00EF6D42"/>
    <w:rsid w:val="00F0080E"/>
    <w:rsid w:val="00F010D8"/>
    <w:rsid w:val="00F01A81"/>
    <w:rsid w:val="00F01EC5"/>
    <w:rsid w:val="00F0212C"/>
    <w:rsid w:val="00F02479"/>
    <w:rsid w:val="00F02DD3"/>
    <w:rsid w:val="00F031DC"/>
    <w:rsid w:val="00F0474B"/>
    <w:rsid w:val="00F06986"/>
    <w:rsid w:val="00F06EC7"/>
    <w:rsid w:val="00F06ED5"/>
    <w:rsid w:val="00F07236"/>
    <w:rsid w:val="00F07479"/>
    <w:rsid w:val="00F0779B"/>
    <w:rsid w:val="00F079C4"/>
    <w:rsid w:val="00F07AB0"/>
    <w:rsid w:val="00F102B1"/>
    <w:rsid w:val="00F102FB"/>
    <w:rsid w:val="00F1110E"/>
    <w:rsid w:val="00F11419"/>
    <w:rsid w:val="00F114D7"/>
    <w:rsid w:val="00F1183A"/>
    <w:rsid w:val="00F11B7A"/>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92E"/>
    <w:rsid w:val="00F21968"/>
    <w:rsid w:val="00F219AF"/>
    <w:rsid w:val="00F21A47"/>
    <w:rsid w:val="00F21E6C"/>
    <w:rsid w:val="00F22459"/>
    <w:rsid w:val="00F22622"/>
    <w:rsid w:val="00F226F6"/>
    <w:rsid w:val="00F2316D"/>
    <w:rsid w:val="00F23980"/>
    <w:rsid w:val="00F23C53"/>
    <w:rsid w:val="00F24B83"/>
    <w:rsid w:val="00F25268"/>
    <w:rsid w:val="00F27530"/>
    <w:rsid w:val="00F279F8"/>
    <w:rsid w:val="00F307AA"/>
    <w:rsid w:val="00F30C4B"/>
    <w:rsid w:val="00F31126"/>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2D16"/>
    <w:rsid w:val="00F44184"/>
    <w:rsid w:val="00F44D4F"/>
    <w:rsid w:val="00F45B71"/>
    <w:rsid w:val="00F4789F"/>
    <w:rsid w:val="00F47DF5"/>
    <w:rsid w:val="00F50662"/>
    <w:rsid w:val="00F50DD0"/>
    <w:rsid w:val="00F50DF2"/>
    <w:rsid w:val="00F510CE"/>
    <w:rsid w:val="00F519AF"/>
    <w:rsid w:val="00F51DE9"/>
    <w:rsid w:val="00F51F16"/>
    <w:rsid w:val="00F5242C"/>
    <w:rsid w:val="00F525DF"/>
    <w:rsid w:val="00F5438E"/>
    <w:rsid w:val="00F54ADF"/>
    <w:rsid w:val="00F54C71"/>
    <w:rsid w:val="00F551CE"/>
    <w:rsid w:val="00F55B77"/>
    <w:rsid w:val="00F5609C"/>
    <w:rsid w:val="00F560AC"/>
    <w:rsid w:val="00F5616D"/>
    <w:rsid w:val="00F56405"/>
    <w:rsid w:val="00F56626"/>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A20"/>
    <w:rsid w:val="00F62C89"/>
    <w:rsid w:val="00F635A3"/>
    <w:rsid w:val="00F63965"/>
    <w:rsid w:val="00F64F02"/>
    <w:rsid w:val="00F6502D"/>
    <w:rsid w:val="00F651E6"/>
    <w:rsid w:val="00F6532E"/>
    <w:rsid w:val="00F653F8"/>
    <w:rsid w:val="00F65469"/>
    <w:rsid w:val="00F65CC9"/>
    <w:rsid w:val="00F66B84"/>
    <w:rsid w:val="00F67043"/>
    <w:rsid w:val="00F67C0C"/>
    <w:rsid w:val="00F67D3C"/>
    <w:rsid w:val="00F70DC8"/>
    <w:rsid w:val="00F7164A"/>
    <w:rsid w:val="00F71971"/>
    <w:rsid w:val="00F7224D"/>
    <w:rsid w:val="00F724B8"/>
    <w:rsid w:val="00F72591"/>
    <w:rsid w:val="00F738B2"/>
    <w:rsid w:val="00F74436"/>
    <w:rsid w:val="00F74615"/>
    <w:rsid w:val="00F747DD"/>
    <w:rsid w:val="00F75B4C"/>
    <w:rsid w:val="00F75BF3"/>
    <w:rsid w:val="00F768D5"/>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3F3D"/>
    <w:rsid w:val="00F84238"/>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6691"/>
    <w:rsid w:val="00F96E77"/>
    <w:rsid w:val="00F97197"/>
    <w:rsid w:val="00F9756A"/>
    <w:rsid w:val="00FA01E0"/>
    <w:rsid w:val="00FA1FDC"/>
    <w:rsid w:val="00FA26AB"/>
    <w:rsid w:val="00FA2E85"/>
    <w:rsid w:val="00FA357F"/>
    <w:rsid w:val="00FA3A58"/>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2D5"/>
    <w:rsid w:val="00FB46FE"/>
    <w:rsid w:val="00FB4956"/>
    <w:rsid w:val="00FB4C96"/>
    <w:rsid w:val="00FB5031"/>
    <w:rsid w:val="00FB52F7"/>
    <w:rsid w:val="00FB5C55"/>
    <w:rsid w:val="00FB64A5"/>
    <w:rsid w:val="00FB7148"/>
    <w:rsid w:val="00FB72CE"/>
    <w:rsid w:val="00FB75BC"/>
    <w:rsid w:val="00FB7B55"/>
    <w:rsid w:val="00FB7C69"/>
    <w:rsid w:val="00FB7CCC"/>
    <w:rsid w:val="00FC198B"/>
    <w:rsid w:val="00FC1DA0"/>
    <w:rsid w:val="00FC1E1C"/>
    <w:rsid w:val="00FC3075"/>
    <w:rsid w:val="00FC43A7"/>
    <w:rsid w:val="00FC44B7"/>
    <w:rsid w:val="00FC4C5D"/>
    <w:rsid w:val="00FC4CA7"/>
    <w:rsid w:val="00FC4CE0"/>
    <w:rsid w:val="00FC524C"/>
    <w:rsid w:val="00FC6137"/>
    <w:rsid w:val="00FC6488"/>
    <w:rsid w:val="00FC681A"/>
    <w:rsid w:val="00FC77D0"/>
    <w:rsid w:val="00FC77F9"/>
    <w:rsid w:val="00FD0202"/>
    <w:rsid w:val="00FD07F8"/>
    <w:rsid w:val="00FD0C21"/>
    <w:rsid w:val="00FD0E4F"/>
    <w:rsid w:val="00FD1194"/>
    <w:rsid w:val="00FD1B07"/>
    <w:rsid w:val="00FD1DB6"/>
    <w:rsid w:val="00FD2B4E"/>
    <w:rsid w:val="00FD33AC"/>
    <w:rsid w:val="00FD4103"/>
    <w:rsid w:val="00FD4240"/>
    <w:rsid w:val="00FD4625"/>
    <w:rsid w:val="00FD48F2"/>
    <w:rsid w:val="00FD49F3"/>
    <w:rsid w:val="00FD4D7E"/>
    <w:rsid w:val="00FD5643"/>
    <w:rsid w:val="00FD5721"/>
    <w:rsid w:val="00FD5F80"/>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5A"/>
    <w:rsid w:val="00FE5AF3"/>
    <w:rsid w:val="00FE67CF"/>
    <w:rsid w:val="00FE69FB"/>
    <w:rsid w:val="00FE7795"/>
    <w:rsid w:val="00FE7885"/>
    <w:rsid w:val="00FE7A9B"/>
    <w:rsid w:val="00FE7DC4"/>
    <w:rsid w:val="00FE7E4A"/>
    <w:rsid w:val="00FE7F96"/>
    <w:rsid w:val="00FF133D"/>
    <w:rsid w:val="00FF1A85"/>
    <w:rsid w:val="00FF1D20"/>
    <w:rsid w:val="00FF23D2"/>
    <w:rsid w:val="00FF29F8"/>
    <w:rsid w:val="00FF2E34"/>
    <w:rsid w:val="00FF3625"/>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 w:type="paragraph" w:customStyle="1" w:styleId="Eqn">
    <w:name w:val="Eqn"/>
    <w:basedOn w:val="a"/>
    <w:qFormat/>
    <w:rsid w:val="00C139BC"/>
    <w:pPr>
      <w:tabs>
        <w:tab w:val="center" w:pos="4608"/>
        <w:tab w:val="right" w:pos="9216"/>
      </w:tabs>
      <w:autoSpaceDE w:val="0"/>
      <w:autoSpaceDN w:val="0"/>
      <w:adjustRightInd w:val="0"/>
      <w:snapToGrid w:val="0"/>
      <w:spacing w:beforeLines="0" w:before="0"/>
    </w:pPr>
    <w:rPr>
      <w:rFonts w:eastAsia="宋体"/>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3252E-719E-450D-A60B-587ED2AEB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1338</Words>
  <Characters>7633</Characters>
  <Application>Microsoft Office Word</Application>
  <DocSecurity>0</DocSecurity>
  <Lines>63</Lines>
  <Paragraphs>17</Paragraphs>
  <ScaleCrop>false</ScaleCrop>
  <Company>Vivo</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孙伟-通信研究院</cp:lastModifiedBy>
  <cp:revision>32</cp:revision>
  <cp:lastPrinted>2008-12-09T03:19:00Z</cp:lastPrinted>
  <dcterms:created xsi:type="dcterms:W3CDTF">2020-10-23T09:33:00Z</dcterms:created>
  <dcterms:modified xsi:type="dcterms:W3CDTF">2020-10-23T10:36:00Z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